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5" w:lineRule="auto"/>
        <w:rPr>
          <w:rFonts w:hint="eastAsia" w:ascii="Arial" w:eastAsia="宋体"/>
          <w:sz w:val="21"/>
          <w:lang w:eastAsia="zh-CN"/>
        </w:rPr>
      </w:pPr>
      <w:bookmarkStart w:id="0" w:name="_GoBack"/>
      <w:bookmarkEnd w:id="0"/>
    </w:p>
    <w:p>
      <w:pPr>
        <w:spacing w:before="140" w:line="221" w:lineRule="auto"/>
        <w:ind w:left="1049"/>
        <w:rPr>
          <w:rFonts w:ascii="宋体" w:hAnsi="宋体" w:eastAsia="宋体" w:cs="宋体"/>
          <w:spacing w:val="20"/>
          <w:sz w:val="43"/>
          <w:szCs w:val="43"/>
          <w14:textOutline w14:w="7975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40" w:line="221" w:lineRule="auto"/>
        <w:ind w:left="1049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20"/>
          <w:sz w:val="43"/>
          <w:szCs w:val="43"/>
          <w14:textOutline w14:w="7975" w14:cap="sq" w14:cmpd="sng">
            <w14:solidFill>
              <w14:srgbClr w14:val="000000"/>
            </w14:solidFill>
            <w14:prstDash w14:val="solid"/>
            <w14:bevel/>
          </w14:textOutline>
        </w:rPr>
        <w:t>人文社会科学研究基地年度考核基本指标</w:t>
      </w:r>
    </w:p>
    <w:p>
      <w:pPr>
        <w:spacing w:before="111"/>
      </w:pPr>
    </w:p>
    <w:tbl>
      <w:tblPr>
        <w:tblStyle w:val="6"/>
        <w:tblW w:w="102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9"/>
        <w:gridCol w:w="953"/>
        <w:gridCol w:w="889"/>
        <w:gridCol w:w="954"/>
        <w:gridCol w:w="1562"/>
        <w:gridCol w:w="1309"/>
        <w:gridCol w:w="1473"/>
        <w:gridCol w:w="1283"/>
        <w:gridCol w:w="12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5" w:hRule="atLeast"/>
        </w:trPr>
        <w:tc>
          <w:tcPr>
            <w:tcW w:w="569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12" w:lineRule="exact"/>
              <w:ind w:left="1"/>
            </w:pPr>
            <w:r>
              <w:rPr>
                <w:spacing w:val="4"/>
                <w:position w:val="7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基地</w:t>
            </w:r>
          </w:p>
          <w:p>
            <w:pPr>
              <w:pStyle w:val="7"/>
              <w:spacing w:line="232" w:lineRule="auto"/>
              <w:ind w:left="10"/>
            </w:pPr>
            <w:r>
              <w:rPr>
                <w:spacing w:val="1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类别</w:t>
            </w:r>
          </w:p>
        </w:tc>
        <w:tc>
          <w:tcPr>
            <w:tcW w:w="953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1" w:lineRule="auto"/>
              <w:ind w:left="1" w:right="134"/>
              <w:jc w:val="both"/>
            </w:pPr>
            <w:r>
              <w:rPr>
                <w:spacing w:val="1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新增纵向</w:t>
            </w:r>
            <w:r>
              <w:t xml:space="preserve"> </w:t>
            </w:r>
            <w:r>
              <w:rPr>
                <w:spacing w:val="3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科研项目</w:t>
            </w:r>
            <w:r>
              <w:t xml:space="preserve"> </w:t>
            </w:r>
            <w:r>
              <w:rPr>
                <w:spacing w:val="4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数</w:t>
            </w:r>
          </w:p>
        </w:tc>
        <w:tc>
          <w:tcPr>
            <w:tcW w:w="889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5" w:lineRule="auto"/>
              <w:jc w:val="right"/>
            </w:pPr>
            <w:r>
              <w:rPr>
                <w:spacing w:val="20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新增科研</w:t>
            </w:r>
          </w:p>
          <w:p>
            <w:pPr>
              <w:pStyle w:val="7"/>
              <w:spacing w:before="68" w:line="225" w:lineRule="auto"/>
              <w:ind w:left="11"/>
            </w:pPr>
            <w:r>
              <w:rPr>
                <w:spacing w:val="-1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经费</w:t>
            </w:r>
          </w:p>
          <w:p>
            <w:pPr>
              <w:pStyle w:val="7"/>
              <w:spacing w:before="68" w:line="232" w:lineRule="auto"/>
              <w:ind w:left="49"/>
            </w:pPr>
            <w:r>
              <w:rPr>
                <w:spacing w:val="-13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spacing w:val="-55"/>
              </w:rPr>
              <w:t xml:space="preserve"> </w:t>
            </w:r>
            <w:r>
              <w:rPr>
                <w:spacing w:val="-13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万</w:t>
            </w:r>
            <w:r>
              <w:rPr>
                <w:spacing w:val="-37"/>
              </w:rPr>
              <w:t xml:space="preserve"> </w:t>
            </w:r>
            <w:r>
              <w:rPr>
                <w:spacing w:val="-13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元</w:t>
            </w:r>
            <w:r>
              <w:rPr>
                <w:spacing w:val="-38"/>
              </w:rPr>
              <w:t xml:space="preserve"> </w:t>
            </w:r>
            <w:r>
              <w:rPr>
                <w:spacing w:val="-13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</w:p>
        </w:tc>
        <w:tc>
          <w:tcPr>
            <w:tcW w:w="954" w:type="dxa"/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3" w:lineRule="auto"/>
              <w:ind w:right="112" w:firstLine="2"/>
              <w:jc w:val="both"/>
            </w:pPr>
            <w:r>
              <w:rPr>
                <w:spacing w:val="8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新增发表</w:t>
            </w:r>
            <w:r>
              <w:t xml:space="preserve"> </w:t>
            </w:r>
            <w:r>
              <w:rPr>
                <w:spacing w:val="9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三大中文</w:t>
            </w:r>
            <w:r>
              <w:t xml:space="preserve"> </w:t>
            </w:r>
            <w:r>
              <w:rPr>
                <w:spacing w:val="-5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核心库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论</w:t>
            </w:r>
            <w:r>
              <w:t xml:space="preserve"> </w:t>
            </w:r>
            <w:r>
              <w:rPr>
                <w:spacing w:val="-2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文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(篇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</w:p>
        </w:tc>
        <w:tc>
          <w:tcPr>
            <w:tcW w:w="1562" w:type="dxa"/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3" w:lineRule="auto"/>
              <w:ind w:left="4" w:right="25" w:hanging="3"/>
              <w:jc w:val="both"/>
            </w:pPr>
            <w:r>
              <w:rPr>
                <w:spacing w:val="3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新增省部级及以</w:t>
            </w:r>
            <w:r>
              <w:rPr>
                <w:spacing w:val="1"/>
              </w:rPr>
              <w:t xml:space="preserve">  </w:t>
            </w:r>
            <w:r>
              <w:rPr>
                <w:spacing w:val="3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上领导同志批示</w:t>
            </w:r>
            <w:r>
              <w:t xml:space="preserve">  </w:t>
            </w:r>
            <w:r>
              <w:rPr>
                <w:spacing w:val="2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并产生重大影响</w:t>
            </w:r>
            <w:r>
              <w:rPr>
                <w:spacing w:val="2"/>
              </w:rPr>
              <w:t xml:space="preserve">  </w:t>
            </w:r>
            <w:r>
              <w:rPr>
                <w:spacing w:val="-10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的研究报告（篇）</w:t>
            </w:r>
          </w:p>
        </w:tc>
        <w:tc>
          <w:tcPr>
            <w:tcW w:w="1309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65" w:lineRule="auto"/>
              <w:ind w:left="3" w:right="110"/>
              <w:jc w:val="both"/>
            </w:pPr>
            <w:r>
              <w:rPr>
                <w:spacing w:val="-2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省级级及以上</w:t>
            </w:r>
            <w:r>
              <w:t xml:space="preserve"> </w:t>
            </w:r>
            <w:r>
              <w:rPr>
                <w:spacing w:val="-2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各类科研奖励</w:t>
            </w:r>
            <w:r>
              <w:t xml:space="preserve"> </w:t>
            </w:r>
            <w:r>
              <w:rPr>
                <w:spacing w:val="-11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（当年，项）</w:t>
            </w:r>
          </w:p>
        </w:tc>
        <w:tc>
          <w:tcPr>
            <w:tcW w:w="1473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72" w:lineRule="auto"/>
              <w:ind w:right="110" w:firstLine="4"/>
              <w:jc w:val="both"/>
            </w:pPr>
            <w:r>
              <w:rPr>
                <w:spacing w:val="-7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新增公开出版的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学术著作，白皮</w:t>
            </w:r>
            <w:r>
              <w:rPr>
                <w:spacing w:val="5"/>
              </w:rPr>
              <w:t xml:space="preserve"> </w:t>
            </w:r>
            <w:r>
              <w:rPr>
                <w:spacing w:val="-7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书，蓝皮书，年</w:t>
            </w:r>
            <w:r>
              <w:rPr>
                <w:spacing w:val="5"/>
              </w:rPr>
              <w:t xml:space="preserve"> </w:t>
            </w:r>
            <w:r>
              <w:rPr>
                <w:spacing w:val="-12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度报告等（部）</w:t>
            </w:r>
          </w:p>
        </w:tc>
        <w:tc>
          <w:tcPr>
            <w:tcW w:w="1283" w:type="dxa"/>
            <w:vAlign w:val="top"/>
          </w:tcPr>
          <w:p>
            <w:pPr>
              <w:pStyle w:val="7"/>
              <w:spacing w:before="52" w:line="279" w:lineRule="auto"/>
              <w:ind w:left="6" w:right="106" w:firstLine="23"/>
              <w:jc w:val="both"/>
            </w:pPr>
            <w:r>
              <w:rPr>
                <w:spacing w:val="-10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国际性、全国</w:t>
            </w:r>
            <w:r>
              <w:t xml:space="preserve"> </w:t>
            </w:r>
            <w:r>
              <w:rPr>
                <w:spacing w:val="-6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性具有影响力</w:t>
            </w:r>
            <w:r>
              <w:t xml:space="preserve"> </w:t>
            </w:r>
            <w:r>
              <w:rPr>
                <w:spacing w:val="32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的学术会议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（次</w:t>
            </w:r>
            <w:r>
              <w:rPr>
                <w:spacing w:val="-37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）（</w:t>
            </w:r>
            <w:r>
              <w:rPr>
                <w:spacing w:val="9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全国</w:t>
            </w:r>
            <w:r>
              <w:t xml:space="preserve"> </w:t>
            </w:r>
            <w:r>
              <w:rPr>
                <w:spacing w:val="-6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二级学术组织</w:t>
            </w:r>
            <w:r>
              <w:t xml:space="preserve"> </w:t>
            </w:r>
            <w:r>
              <w:rPr>
                <w:spacing w:val="-7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及以上或省一</w:t>
            </w:r>
            <w:r>
              <w:rPr>
                <w:spacing w:val="3"/>
              </w:rPr>
              <w:t xml:space="preserve"> </w:t>
            </w:r>
            <w:r>
              <w:rPr>
                <w:spacing w:val="-11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级学术组织）</w:t>
            </w:r>
          </w:p>
        </w:tc>
        <w:tc>
          <w:tcPr>
            <w:tcW w:w="1222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68" w:lineRule="auto"/>
              <w:ind w:left="9" w:hanging="2"/>
              <w:jc w:val="both"/>
            </w:pPr>
            <w:r>
              <w:rPr>
                <w:spacing w:val="1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新增文艺创作</w:t>
            </w:r>
            <w:r>
              <w:rPr>
                <w:spacing w:val="2"/>
              </w:rPr>
              <w:t xml:space="preserve"> </w:t>
            </w:r>
            <w:r>
              <w:rPr>
                <w:spacing w:val="-22"/>
                <w:w w:val="95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奖励（</w:t>
            </w:r>
            <w:r>
              <w:rPr>
                <w:spacing w:val="-21"/>
                <w:w w:val="95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艺术类</w:t>
            </w:r>
            <w:r>
              <w:rPr>
                <w:spacing w:val="-4"/>
                <w:w w:val="95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</w:t>
            </w:r>
            <w:r>
              <w:rPr>
                <w:spacing w:val="9"/>
              </w:rPr>
              <w:t xml:space="preserve"> </w:t>
            </w:r>
            <w:r>
              <w:rPr>
                <w:spacing w:val="-15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地增列指标）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569" w:type="dxa"/>
            <w:vAlign w:val="top"/>
          </w:tcPr>
          <w:p>
            <w:pPr>
              <w:spacing w:line="4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89" w:lineRule="auto"/>
              <w:ind w:left="238"/>
            </w:pPr>
            <w:r>
              <w:t>A</w:t>
            </w:r>
          </w:p>
        </w:tc>
        <w:tc>
          <w:tcPr>
            <w:tcW w:w="953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468" w:lineRule="exact"/>
              <w:jc w:val="right"/>
            </w:pPr>
            <w:r>
              <w:rPr>
                <w:spacing w:val="30"/>
                <w:position w:val="20"/>
              </w:rPr>
              <w:t>国家社科</w:t>
            </w:r>
          </w:p>
          <w:p>
            <w:pPr>
              <w:pStyle w:val="7"/>
              <w:spacing w:line="231" w:lineRule="auto"/>
            </w:pPr>
            <w:r>
              <w:rPr>
                <w:spacing w:val="-4"/>
              </w:rPr>
              <w:t>基金</w:t>
            </w:r>
            <w:r>
              <w:rPr>
                <w:spacing w:val="-39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项</w:t>
            </w:r>
          </w:p>
        </w:tc>
        <w:tc>
          <w:tcPr>
            <w:tcW w:w="889" w:type="dxa"/>
            <w:vAlign w:val="top"/>
          </w:tcPr>
          <w:p>
            <w:pPr>
              <w:spacing w:line="4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88" w:lineRule="auto"/>
              <w:ind w:left="323"/>
            </w:pPr>
            <w:r>
              <w:rPr>
                <w:spacing w:val="8"/>
              </w:rPr>
              <w:t>20</w:t>
            </w:r>
          </w:p>
        </w:tc>
        <w:tc>
          <w:tcPr>
            <w:tcW w:w="954" w:type="dxa"/>
            <w:vAlign w:val="top"/>
          </w:tcPr>
          <w:p>
            <w:pPr>
              <w:spacing w:line="4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1" w:lineRule="auto"/>
              <w:ind w:left="369"/>
            </w:pPr>
            <w:r>
              <w:t>9</w:t>
            </w:r>
          </w:p>
        </w:tc>
        <w:tc>
          <w:tcPr>
            <w:tcW w:w="1562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1" w:lineRule="auto"/>
              <w:ind w:left="835"/>
            </w:pPr>
            <w:r>
              <w:t>3</w:t>
            </w:r>
          </w:p>
        </w:tc>
        <w:tc>
          <w:tcPr>
            <w:tcW w:w="1309" w:type="dxa"/>
            <w:vAlign w:val="top"/>
          </w:tcPr>
          <w:p>
            <w:pPr>
              <w:spacing w:line="4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0" w:lineRule="auto"/>
              <w:ind w:left="552"/>
            </w:pPr>
            <w:r>
              <w:t>1</w:t>
            </w:r>
          </w:p>
        </w:tc>
        <w:tc>
          <w:tcPr>
            <w:tcW w:w="1473" w:type="dxa"/>
            <w:vAlign w:val="top"/>
          </w:tcPr>
          <w:p>
            <w:pPr>
              <w:spacing w:line="4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1" w:lineRule="auto"/>
              <w:ind w:left="638"/>
            </w:pPr>
            <w:r>
              <w:t>3</w:t>
            </w:r>
          </w:p>
        </w:tc>
        <w:tc>
          <w:tcPr>
            <w:tcW w:w="1283" w:type="dxa"/>
            <w:vAlign w:val="top"/>
          </w:tcPr>
          <w:p>
            <w:pPr>
              <w:spacing w:line="4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0" w:lineRule="auto"/>
              <w:ind w:left="534"/>
            </w:pPr>
            <w:r>
              <w:t>2</w:t>
            </w:r>
          </w:p>
        </w:tc>
        <w:tc>
          <w:tcPr>
            <w:tcW w:w="1222" w:type="dxa"/>
            <w:vAlign w:val="top"/>
          </w:tcPr>
          <w:p>
            <w:pPr>
              <w:pStyle w:val="7"/>
              <w:spacing w:before="54" w:line="273" w:lineRule="auto"/>
              <w:ind w:left="16" w:right="152" w:hanging="1"/>
              <w:jc w:val="both"/>
            </w:pPr>
            <w:r>
              <w:rPr>
                <w:spacing w:val="1"/>
              </w:rPr>
              <w:t>金奖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项或</w:t>
            </w:r>
            <w:r>
              <w:t xml:space="preserve"> </w:t>
            </w:r>
            <w:r>
              <w:rPr>
                <w:spacing w:val="1"/>
              </w:rPr>
              <w:t>银奖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2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项或</w:t>
            </w:r>
            <w:r>
              <w:t xml:space="preserve"> </w:t>
            </w:r>
            <w:r>
              <w:rPr>
                <w:spacing w:val="9"/>
              </w:rPr>
              <w:t>入选展演作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品</w:t>
            </w:r>
            <w:r>
              <w:rPr>
                <w:spacing w:val="-36"/>
              </w:rPr>
              <w:t xml:space="preserve"> </w:t>
            </w:r>
            <w:r>
              <w:rPr>
                <w:spacing w:val="-4"/>
              </w:rPr>
              <w:t>A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级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-4"/>
              </w:rPr>
              <w:t>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569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86" w:lineRule="auto"/>
              <w:ind w:left="236"/>
            </w:pPr>
            <w:r>
              <w:t>B</w:t>
            </w:r>
          </w:p>
        </w:tc>
        <w:tc>
          <w:tcPr>
            <w:tcW w:w="953" w:type="dxa"/>
            <w:vAlign w:val="top"/>
          </w:tcPr>
          <w:p>
            <w:pPr>
              <w:pStyle w:val="7"/>
              <w:spacing w:before="54" w:line="273" w:lineRule="auto"/>
              <w:ind w:left="7" w:hanging="6"/>
              <w:jc w:val="both"/>
            </w:pPr>
            <w:r>
              <w:rPr>
                <w:spacing w:val="35"/>
              </w:rPr>
              <w:t>部委级项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目1项或省</w:t>
            </w:r>
            <w:r>
              <w:rPr>
                <w:spacing w:val="3"/>
              </w:rPr>
              <w:t xml:space="preserve"> </w:t>
            </w:r>
            <w:r>
              <w:rPr>
                <w:spacing w:val="34"/>
              </w:rPr>
              <w:t>级重大项</w:t>
            </w:r>
            <w:r>
              <w:t xml:space="preserve"> </w:t>
            </w:r>
            <w:r>
              <w:rPr>
                <w:spacing w:val="-8"/>
              </w:rPr>
              <w:t>目</w:t>
            </w:r>
            <w:r>
              <w:rPr>
                <w:spacing w:val="-3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1"/>
              </w:rPr>
              <w:t xml:space="preserve"> </w:t>
            </w:r>
            <w:r>
              <w:rPr>
                <w:spacing w:val="-8"/>
              </w:rPr>
              <w:t>项</w:t>
            </w:r>
          </w:p>
        </w:tc>
        <w:tc>
          <w:tcPr>
            <w:tcW w:w="889" w:type="dxa"/>
            <w:vAlign w:val="top"/>
          </w:tcPr>
          <w:p>
            <w:pPr>
              <w:spacing w:line="47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88" w:lineRule="auto"/>
              <w:ind w:left="357"/>
            </w:pPr>
            <w:r>
              <w:rPr>
                <w:spacing w:val="-6"/>
              </w:rPr>
              <w:t>10</w:t>
            </w:r>
          </w:p>
        </w:tc>
        <w:tc>
          <w:tcPr>
            <w:tcW w:w="954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87" w:lineRule="auto"/>
              <w:ind w:left="440"/>
            </w:pPr>
            <w:r>
              <w:t>5</w:t>
            </w:r>
          </w:p>
        </w:tc>
        <w:tc>
          <w:tcPr>
            <w:tcW w:w="1562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0" w:lineRule="auto"/>
              <w:ind w:left="827"/>
            </w:pPr>
            <w:r>
              <w:t>2</w:t>
            </w:r>
          </w:p>
        </w:tc>
        <w:tc>
          <w:tcPr>
            <w:tcW w:w="1309" w:type="dxa"/>
            <w:vAlign w:val="top"/>
          </w:tcPr>
          <w:p>
            <w:pPr>
              <w:spacing w:line="47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0" w:lineRule="auto"/>
              <w:ind w:left="621"/>
            </w:pPr>
            <w:r>
              <w:t>1</w:t>
            </w:r>
          </w:p>
        </w:tc>
        <w:tc>
          <w:tcPr>
            <w:tcW w:w="1473" w:type="dxa"/>
            <w:vAlign w:val="top"/>
          </w:tcPr>
          <w:p>
            <w:pPr>
              <w:spacing w:line="47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0" w:lineRule="auto"/>
              <w:ind w:left="699"/>
            </w:pPr>
            <w:r>
              <w:t>2</w:t>
            </w:r>
          </w:p>
        </w:tc>
        <w:tc>
          <w:tcPr>
            <w:tcW w:w="1283" w:type="dxa"/>
            <w:vAlign w:val="top"/>
          </w:tcPr>
          <w:p>
            <w:pPr>
              <w:spacing w:line="47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0" w:lineRule="auto"/>
              <w:ind w:left="609"/>
            </w:pPr>
            <w:r>
              <w:t>1</w:t>
            </w:r>
          </w:p>
        </w:tc>
        <w:tc>
          <w:tcPr>
            <w:tcW w:w="1222" w:type="dxa"/>
            <w:vAlign w:val="top"/>
          </w:tcPr>
          <w:p>
            <w:pPr>
              <w:pStyle w:val="7"/>
              <w:spacing w:before="52" w:line="229" w:lineRule="auto"/>
              <w:jc w:val="right"/>
            </w:pPr>
            <w:r>
              <w:rPr>
                <w:spacing w:val="2"/>
              </w:rPr>
              <w:t>银奖</w:t>
            </w:r>
            <w:r>
              <w:rPr>
                <w:spacing w:val="-46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56"/>
              </w:rPr>
              <w:t xml:space="preserve"> </w:t>
            </w:r>
            <w:r>
              <w:rPr>
                <w:spacing w:val="2"/>
              </w:rPr>
              <w:t>项或铜</w:t>
            </w:r>
          </w:p>
          <w:p>
            <w:pPr>
              <w:pStyle w:val="7"/>
              <w:spacing w:before="63" w:line="232" w:lineRule="auto"/>
              <w:ind w:right="1"/>
              <w:jc w:val="right"/>
            </w:pPr>
            <w:r>
              <w:t>奖</w:t>
            </w:r>
            <w:r>
              <w:rPr>
                <w:spacing w:val="-53"/>
              </w:rPr>
              <w:t xml:space="preserve"> </w:t>
            </w:r>
            <w:r>
              <w:t>2</w:t>
            </w:r>
            <w:r>
              <w:rPr>
                <w:spacing w:val="-58"/>
              </w:rPr>
              <w:t xml:space="preserve"> </w:t>
            </w:r>
            <w:r>
              <w:t>项或入选</w:t>
            </w:r>
          </w:p>
          <w:p>
            <w:pPr>
              <w:pStyle w:val="7"/>
              <w:spacing w:before="60" w:line="223" w:lineRule="auto"/>
              <w:jc w:val="right"/>
            </w:pPr>
            <w:r>
              <w:rPr>
                <w:spacing w:val="11"/>
              </w:rPr>
              <w:t>展演作品B</w:t>
            </w:r>
            <w:r>
              <w:rPr>
                <w:spacing w:val="-54"/>
              </w:rPr>
              <w:t xml:space="preserve"> </w:t>
            </w:r>
            <w:r>
              <w:rPr>
                <w:spacing w:val="11"/>
              </w:rPr>
              <w:t>级</w:t>
            </w:r>
          </w:p>
          <w:p>
            <w:pPr>
              <w:pStyle w:val="7"/>
              <w:spacing w:before="70" w:line="229" w:lineRule="auto"/>
              <w:ind w:left="447"/>
            </w:pPr>
            <w:r>
              <w:rPr>
                <w:spacing w:val="-9"/>
              </w:rPr>
              <w:t>1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</w:rPr>
              <w:t>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69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2" w:lineRule="auto"/>
              <w:ind w:left="237"/>
            </w:pPr>
            <w:r>
              <w:t>C</w:t>
            </w:r>
          </w:p>
        </w:tc>
        <w:tc>
          <w:tcPr>
            <w:tcW w:w="953" w:type="dxa"/>
            <w:vAlign w:val="top"/>
          </w:tcPr>
          <w:p>
            <w:pPr>
              <w:pStyle w:val="7"/>
              <w:spacing w:before="209" w:line="260" w:lineRule="auto"/>
              <w:ind w:firstLine="2"/>
            </w:pPr>
            <w:r>
              <w:rPr>
                <w:spacing w:val="36"/>
              </w:rPr>
              <w:t>省级社科</w:t>
            </w:r>
            <w:r>
              <w:t xml:space="preserve"> </w:t>
            </w:r>
            <w:r>
              <w:rPr>
                <w:spacing w:val="-4"/>
              </w:rPr>
              <w:t>基金</w:t>
            </w:r>
            <w:r>
              <w:rPr>
                <w:spacing w:val="-39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项</w:t>
            </w:r>
          </w:p>
        </w:tc>
        <w:tc>
          <w:tcPr>
            <w:tcW w:w="889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1" w:lineRule="auto"/>
              <w:ind w:left="413"/>
            </w:pPr>
            <w:r>
              <w:t>3</w:t>
            </w:r>
          </w:p>
        </w:tc>
        <w:tc>
          <w:tcPr>
            <w:tcW w:w="954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1" w:lineRule="auto"/>
              <w:ind w:left="445"/>
            </w:pPr>
            <w:r>
              <w:t>3</w:t>
            </w:r>
          </w:p>
        </w:tc>
        <w:tc>
          <w:tcPr>
            <w:tcW w:w="1562" w:type="dxa"/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0" w:lineRule="auto"/>
              <w:ind w:left="832"/>
            </w:pPr>
            <w:r>
              <w:t>1</w:t>
            </w:r>
          </w:p>
        </w:tc>
        <w:tc>
          <w:tcPr>
            <w:tcW w:w="1309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0" w:lineRule="auto"/>
              <w:ind w:left="621"/>
            </w:pPr>
            <w:r>
              <w:t>1</w:t>
            </w:r>
          </w:p>
        </w:tc>
        <w:tc>
          <w:tcPr>
            <w:tcW w:w="1473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0" w:lineRule="auto"/>
              <w:ind w:left="704"/>
            </w:pPr>
            <w:r>
              <w:t>1</w:t>
            </w:r>
          </w:p>
        </w:tc>
        <w:tc>
          <w:tcPr>
            <w:tcW w:w="1283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190" w:lineRule="auto"/>
              <w:ind w:left="609"/>
            </w:pPr>
            <w:r>
              <w:t>1</w:t>
            </w:r>
          </w:p>
        </w:tc>
        <w:tc>
          <w:tcPr>
            <w:tcW w:w="1222" w:type="dxa"/>
            <w:vAlign w:val="top"/>
          </w:tcPr>
          <w:p>
            <w:pPr>
              <w:pStyle w:val="7"/>
              <w:spacing w:before="53" w:line="232" w:lineRule="auto"/>
              <w:jc w:val="right"/>
            </w:pPr>
            <w:r>
              <w:rPr>
                <w:spacing w:val="2"/>
              </w:rPr>
              <w:t>铜奖</w:t>
            </w:r>
            <w:r>
              <w:rPr>
                <w:spacing w:val="-46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56"/>
              </w:rPr>
              <w:t xml:space="preserve"> </w:t>
            </w:r>
            <w:r>
              <w:rPr>
                <w:spacing w:val="2"/>
              </w:rPr>
              <w:t>项或入</w:t>
            </w:r>
          </w:p>
          <w:p>
            <w:pPr>
              <w:pStyle w:val="7"/>
              <w:spacing w:before="60" w:line="223" w:lineRule="auto"/>
              <w:ind w:left="9"/>
            </w:pPr>
            <w:r>
              <w:rPr>
                <w:spacing w:val="7"/>
              </w:rPr>
              <w:t>选展演作品</w:t>
            </w:r>
            <w:r>
              <w:rPr>
                <w:spacing w:val="-39"/>
              </w:rPr>
              <w:t xml:space="preserve"> </w:t>
            </w:r>
            <w:r>
              <w:rPr>
                <w:spacing w:val="7"/>
              </w:rPr>
              <w:t>C</w:t>
            </w:r>
          </w:p>
          <w:p>
            <w:pPr>
              <w:pStyle w:val="7"/>
              <w:spacing w:before="71" w:line="229" w:lineRule="auto"/>
              <w:ind w:left="306"/>
            </w:pPr>
            <w:r>
              <w:rPr>
                <w:spacing w:val="-7"/>
              </w:rPr>
              <w:t>级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34"/>
              </w:rPr>
              <w:t xml:space="preserve"> </w:t>
            </w:r>
            <w:r>
              <w:rPr>
                <w:spacing w:val="-7"/>
              </w:rPr>
              <w:t>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8" w:hRule="atLeast"/>
        </w:trPr>
        <w:tc>
          <w:tcPr>
            <w:tcW w:w="10214" w:type="dxa"/>
            <w:gridSpan w:val="9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14:textOutline w14:w="3797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备注：</w:t>
            </w:r>
          </w:p>
          <w:p>
            <w:pPr>
              <w:spacing w:before="183" w:line="227" w:lineRule="auto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1"/>
                <w:sz w:val="20"/>
                <w:szCs w:val="20"/>
              </w:rPr>
              <w:t>1.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新增科研经费包括纵向科研项目经费、横向项目经费等各类科研经费， 但不包括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学校配套经费等由学校财务</w:t>
            </w:r>
          </w:p>
          <w:p>
            <w:pPr>
              <w:spacing w:before="66" w:line="228" w:lineRule="auto"/>
              <w:ind w:left="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支出的经费。</w:t>
            </w:r>
          </w:p>
          <w:p>
            <w:pPr>
              <w:spacing w:before="184" w:line="258" w:lineRule="auto"/>
              <w:ind w:left="9" w:right="1" w:firstLine="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8"/>
                <w:sz w:val="20"/>
                <w:szCs w:val="20"/>
              </w:rPr>
              <w:t>2.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一般基地</w:t>
            </w:r>
            <w:r>
              <w:rPr>
                <w:rFonts w:ascii="宋体" w:hAnsi="宋体" w:eastAsia="宋体" w:cs="宋体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spacing w:val="8"/>
                <w:sz w:val="20"/>
                <w:szCs w:val="20"/>
              </w:rPr>
              <w:t>1-7</w:t>
            </w:r>
            <w:r>
              <w:rPr>
                <w:rFonts w:ascii="Calibri" w:hAnsi="Calibri" w:eastAsia="Calibri" w:cs="Calibri"/>
                <w:spacing w:val="21"/>
                <w:w w:val="10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项指标中有</w:t>
            </w:r>
            <w:r>
              <w:rPr>
                <w:rFonts w:ascii="宋体" w:hAnsi="宋体" w:eastAsia="宋体" w:cs="宋体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spacing w:val="8"/>
                <w:sz w:val="20"/>
                <w:szCs w:val="20"/>
              </w:rPr>
              <w:t>4</w:t>
            </w:r>
            <w:r>
              <w:rPr>
                <w:rFonts w:ascii="Calibri" w:hAnsi="Calibri" w:eastAsia="Calibri" w:cs="Calibri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项达到要求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即为合格。艺术类基地</w:t>
            </w:r>
            <w:r>
              <w:rPr>
                <w:rFonts w:ascii="宋体" w:hAnsi="宋体" w:eastAsia="宋体" w:cs="宋体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1-8</w:t>
            </w:r>
            <w:r>
              <w:rPr>
                <w:rFonts w:ascii="Calibri" w:hAnsi="Calibri" w:eastAsia="Calibri" w:cs="Calibri"/>
                <w:spacing w:val="19"/>
                <w:w w:val="10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项指标中有</w:t>
            </w:r>
            <w:r>
              <w:rPr>
                <w:rFonts w:ascii="宋体" w:hAnsi="宋体" w:eastAsia="宋体" w:cs="宋体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5</w:t>
            </w:r>
            <w:r>
              <w:rPr>
                <w:rFonts w:ascii="Calibri" w:hAnsi="Calibri" w:eastAsia="Calibri" w:cs="Calibri"/>
                <w:spacing w:val="21"/>
                <w:w w:val="10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项达到要求即为合格。如遇当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年某指标项空缺时（如奖励项</w:t>
            </w: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>），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考核当年的指标总数相应递减，合格指标的要求数相应递减。</w:t>
            </w:r>
          </w:p>
          <w:p>
            <w:pPr>
              <w:spacing w:before="185" w:line="227" w:lineRule="auto"/>
              <w:ind w:left="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8"/>
                <w:sz w:val="20"/>
                <w:szCs w:val="20"/>
              </w:rPr>
              <w:t>3.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符合交叉学科基本要求的项目或成果可以纳入考核。</w:t>
            </w:r>
          </w:p>
          <w:p>
            <w:pPr>
              <w:spacing w:before="186" w:line="226" w:lineRule="auto"/>
              <w:ind w:left="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9"/>
                <w:sz w:val="20"/>
                <w:szCs w:val="20"/>
              </w:rPr>
              <w:t>4.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某项指标特别优秀的，综合评价时，可酌情平衡其他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指标。</w:t>
            </w:r>
          </w:p>
        </w:tc>
      </w:tr>
    </w:tbl>
    <w:p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1906" w:h="16839"/>
      <w:pgMar w:top="1431" w:right="786" w:bottom="1157" w:left="899" w:header="0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507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val="en-US" w:eastAsia="zh-CN"/>
      </w:rPr>
    </w:pPr>
  </w:p>
  <w:p>
    <w:pPr>
      <w:pStyle w:val="3"/>
      <w:rPr>
        <w:rFonts w:hint="eastAsia" w:eastAsia="宋体"/>
        <w:lang w:val="en-US" w:eastAsia="zh-CN"/>
      </w:rPr>
    </w:pPr>
  </w:p>
  <w:p>
    <w:pPr>
      <w:pStyle w:val="3"/>
      <w:rPr>
        <w:rFonts w:hint="eastAsia" w:eastAsia="宋体"/>
        <w:lang w:val="en-US" w:eastAsia="zh-CN"/>
      </w:rPr>
    </w:pPr>
  </w:p>
  <w:p>
    <w:pPr>
      <w:pStyle w:val="3"/>
      <w:rPr>
        <w:rFonts w:hint="eastAsia" w:eastAsia="宋体"/>
        <w:lang w:val="en-US" w:eastAsia="zh-CN"/>
      </w:rPr>
    </w:pPr>
  </w:p>
  <w:p>
    <w:pPr>
      <w:pStyle w:val="3"/>
      <w:rPr>
        <w:rFonts w:hint="eastAsia" w:eastAsia="宋体"/>
        <w:lang w:val="en-US" w:eastAsia="zh-CN"/>
      </w:rPr>
    </w:pPr>
  </w:p>
  <w:p>
    <w:pPr>
      <w:pStyle w:val="3"/>
      <w:rPr>
        <w:rFonts w:hint="eastAsia" w:eastAsia="宋体"/>
        <w:lang w:val="en-US" w:eastAsia="zh-CN"/>
      </w:rPr>
    </w:pPr>
  </w:p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附件3：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mQxZWQxMWY0MjhlZWUyNjRjNmFhMmVmYmU2MDA1MTIifQ=="/>
  </w:docVars>
  <w:rsids>
    <w:rsidRoot w:val="00000000"/>
    <w:rsid w:val="06747CE2"/>
    <w:rsid w:val="0E697785"/>
    <w:rsid w:val="141F2753"/>
    <w:rsid w:val="36C5256F"/>
    <w:rsid w:val="3984443A"/>
    <w:rsid w:val="71130C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华文仿宋" w:hAnsi="华文仿宋" w:eastAsia="华文仿宋" w:cs="华文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semiHidden/>
    <w:qFormat/>
    <w:uiPriority w:val="0"/>
    <w:rPr>
      <w:rFonts w:ascii="楷体" w:hAnsi="楷体" w:eastAsia="楷体" w:cs="楷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2023-11-01T09:02:00Z</dcterms:created>
  <dc:creator>SC</dc:creator>
  <cp:lastModifiedBy>雨晴格格</cp:lastModifiedBy>
  <cp:lastPrinted>2024-02-27T01:41:45Z</cp:lastPrinted>
  <dcterms:modified xsi:type="dcterms:W3CDTF">2024-02-27T03:25:13Z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2023-11-01T09:02:59Z</vt:filetime>
  </property>
  <property fmtid="{D5CDD505-2E9C-101B-9397-08002B2CF9AE}" pid="4" name="KSOProductBuildVer">
    <vt:lpwstr>2052-12.1.0.16388</vt:lpwstr>
  </property>
  <property fmtid="{D5CDD505-2E9C-101B-9397-08002B2CF9AE}" pid="5" name="ICV">
    <vt:lpwstr>7AF9A572E8B6413C977B088F7DCB530A_13</vt:lpwstr>
  </property>
</Properties>
</file>