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EB2" w:rsidRPr="00362BBA" w:rsidRDefault="00AC5EB2" w:rsidP="00AC5EB2">
      <w:pPr>
        <w:widowControl/>
        <w:spacing w:line="560" w:lineRule="exact"/>
        <w:jc w:val="center"/>
        <w:rPr>
          <w:rFonts w:ascii="宋体" w:hAnsi="宋体" w:cs="Calibri"/>
          <w:b/>
          <w:bCs/>
          <w:kern w:val="0"/>
          <w:sz w:val="44"/>
          <w:szCs w:val="44"/>
        </w:rPr>
      </w:pPr>
      <w:r w:rsidRPr="00362BBA">
        <w:rPr>
          <w:rFonts w:ascii="宋体" w:hAnsi="宋体" w:cs="Calibri" w:hint="eastAsia"/>
          <w:b/>
          <w:bCs/>
          <w:kern w:val="0"/>
          <w:sz w:val="44"/>
          <w:szCs w:val="44"/>
        </w:rPr>
        <w:t>海南师范大学</w:t>
      </w:r>
    </w:p>
    <w:p w:rsidR="00AC5EB2" w:rsidRDefault="00AC5EB2" w:rsidP="00AC5EB2">
      <w:pPr>
        <w:widowControl/>
        <w:spacing w:line="560" w:lineRule="exact"/>
        <w:jc w:val="center"/>
        <w:rPr>
          <w:rFonts w:ascii="仿宋" w:eastAsia="仿宋" w:hAnsi="仿宋" w:cs="Calibri" w:hint="eastAsia"/>
          <w:kern w:val="0"/>
          <w:sz w:val="32"/>
          <w:szCs w:val="32"/>
        </w:rPr>
      </w:pPr>
      <w:r w:rsidRPr="00362BBA">
        <w:rPr>
          <w:rFonts w:ascii="宋体" w:hAnsi="宋体" w:cs="Calibri" w:hint="eastAsia"/>
          <w:b/>
          <w:bCs/>
          <w:kern w:val="0"/>
          <w:sz w:val="44"/>
          <w:szCs w:val="44"/>
        </w:rPr>
        <w:t>纵向科研项目结余资金管理细则</w:t>
      </w:r>
      <w:r w:rsidRPr="00AC5EB2">
        <w:rPr>
          <w:rFonts w:ascii="宋体" w:hAnsi="宋体" w:cs="Calibri" w:hint="eastAsia"/>
          <w:b/>
          <w:bCs/>
          <w:kern w:val="0"/>
          <w:sz w:val="44"/>
          <w:szCs w:val="44"/>
        </w:rPr>
        <w:t>（试行）</w:t>
      </w:r>
      <w:bookmarkStart w:id="0" w:name="文号"/>
    </w:p>
    <w:p w:rsidR="00AC5EB2" w:rsidRPr="00E70B9A" w:rsidRDefault="00AC5EB2" w:rsidP="00AC5EB2">
      <w:pPr>
        <w:widowControl/>
        <w:spacing w:line="560" w:lineRule="exact"/>
        <w:jc w:val="center"/>
        <w:rPr>
          <w:rFonts w:ascii="仿宋" w:eastAsia="仿宋" w:hAnsi="仿宋" w:cs="Calibri"/>
          <w:sz w:val="32"/>
          <w:szCs w:val="32"/>
        </w:rPr>
      </w:pPr>
      <w:proofErr w:type="gramStart"/>
      <w:r>
        <w:rPr>
          <w:rFonts w:ascii="仿宋_GB2312" w:eastAsia="仿宋_GB2312" w:hAnsi="宋体" w:hint="eastAsia"/>
          <w:bCs/>
          <w:sz w:val="32"/>
          <w:szCs w:val="32"/>
        </w:rPr>
        <w:t>海师办</w:t>
      </w:r>
      <w:proofErr w:type="gramEnd"/>
      <w:r>
        <w:rPr>
          <w:rFonts w:ascii="仿宋_GB2312" w:eastAsia="仿宋_GB2312" w:hAnsi="宋体" w:hint="eastAsia"/>
          <w:bCs/>
          <w:sz w:val="32"/>
          <w:szCs w:val="32"/>
        </w:rPr>
        <w:t>〔</w:t>
      </w:r>
      <w:r>
        <w:rPr>
          <w:rFonts w:ascii="仿宋_GB2312" w:eastAsia="仿宋_GB2312" w:hAnsi="宋体"/>
          <w:bCs/>
          <w:sz w:val="32"/>
          <w:szCs w:val="32"/>
        </w:rPr>
        <w:t>2017〕99号</w:t>
      </w:r>
      <w:bookmarkEnd w:id="0"/>
    </w:p>
    <w:p w:rsidR="00AC5EB2" w:rsidRPr="00E70B9A" w:rsidRDefault="00AC5EB2" w:rsidP="00AC5EB2">
      <w:pPr>
        <w:spacing w:line="560" w:lineRule="exact"/>
        <w:jc w:val="center"/>
        <w:rPr>
          <w:rFonts w:ascii="仿宋" w:eastAsia="仿宋" w:hAnsi="仿宋" w:cs="宋体"/>
          <w:sz w:val="32"/>
          <w:szCs w:val="32"/>
        </w:rPr>
      </w:pPr>
      <w:r w:rsidRPr="00E70B9A">
        <w:rPr>
          <w:rFonts w:ascii="仿宋" w:eastAsia="仿宋" w:hAnsi="仿宋" w:cs="宋体" w:hint="eastAsia"/>
          <w:sz w:val="32"/>
          <w:szCs w:val="32"/>
        </w:rPr>
        <w:t xml:space="preserve"> </w:t>
      </w:r>
    </w:p>
    <w:p w:rsidR="00AC5EB2" w:rsidRPr="00362BBA" w:rsidRDefault="00AC5EB2" w:rsidP="00AC5EB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第一章  总则</w:t>
      </w:r>
    </w:p>
    <w:p w:rsidR="00AC5EB2" w:rsidRPr="00362BBA" w:rsidRDefault="00AC5EB2" w:rsidP="00AC5EB2">
      <w:pPr>
        <w:adjustRightInd w:val="0"/>
        <w:snapToGrid w:val="0"/>
        <w:spacing w:line="560" w:lineRule="exact"/>
        <w:ind w:firstLineChars="200" w:firstLine="643"/>
        <w:rPr>
          <w:rFonts w:ascii="仿宋_GB2312" w:eastAsia="仿宋_GB2312" w:hAnsi="仿宋" w:cs="宋体"/>
          <w:sz w:val="32"/>
          <w:szCs w:val="32"/>
        </w:rPr>
      </w:pPr>
      <w:r w:rsidRPr="00362BBA">
        <w:rPr>
          <w:rFonts w:ascii="仿宋_GB2312" w:eastAsia="仿宋_GB2312" w:hAnsi="仿宋" w:cs="Calibri" w:hint="eastAsia"/>
          <w:b/>
          <w:bCs/>
          <w:kern w:val="0"/>
          <w:sz w:val="32"/>
          <w:szCs w:val="32"/>
        </w:rPr>
        <w:t xml:space="preserve">第一条  </w:t>
      </w:r>
      <w:r w:rsidRPr="00362BBA">
        <w:rPr>
          <w:rFonts w:ascii="仿宋_GB2312" w:eastAsia="仿宋_GB2312" w:hAnsi="仿宋" w:cs="Calibri" w:hint="eastAsia"/>
          <w:sz w:val="32"/>
          <w:szCs w:val="32"/>
        </w:rPr>
        <w:t>结余资金是指项目验收（结题）后，项目实到总经费减去实际总支出后，</w:t>
      </w:r>
      <w:r w:rsidRPr="00362BBA">
        <w:rPr>
          <w:rFonts w:ascii="仿宋_GB2312" w:eastAsia="仿宋_GB2312" w:hAnsi="仿宋" w:cs="宋体" w:hint="eastAsia"/>
          <w:sz w:val="32"/>
          <w:szCs w:val="32"/>
        </w:rPr>
        <w:t>尚未支出的项目资金余额。主要适用于财政来源的项目资金，包括纵向科研项目资金和按照纵向科研项目管理的财政性横向科研项目资金。</w:t>
      </w:r>
    </w:p>
    <w:p w:rsidR="00AC5EB2" w:rsidRPr="00362BBA" w:rsidRDefault="00AC5EB2" w:rsidP="00AC5EB2">
      <w:pPr>
        <w:widowControl/>
        <w:adjustRightInd w:val="0"/>
        <w:snapToGrid w:val="0"/>
        <w:spacing w:line="560" w:lineRule="exact"/>
        <w:ind w:firstLineChars="200" w:firstLine="643"/>
        <w:jc w:val="left"/>
        <w:rPr>
          <w:rFonts w:ascii="仿宋_GB2312" w:eastAsia="仿宋_GB2312" w:hAnsi="仿宋" w:cs="宋体"/>
          <w:kern w:val="0"/>
          <w:sz w:val="32"/>
          <w:szCs w:val="32"/>
        </w:rPr>
      </w:pPr>
      <w:r w:rsidRPr="00362BBA">
        <w:rPr>
          <w:rFonts w:ascii="仿宋_GB2312" w:eastAsia="仿宋_GB2312" w:hAnsi="仿宋" w:cs="Calibri" w:hint="eastAsia"/>
          <w:b/>
          <w:bCs/>
          <w:kern w:val="0"/>
          <w:sz w:val="32"/>
          <w:szCs w:val="32"/>
        </w:rPr>
        <w:t xml:space="preserve">第二条  </w:t>
      </w:r>
      <w:r w:rsidRPr="00362BBA">
        <w:rPr>
          <w:rFonts w:ascii="仿宋_GB2312" w:eastAsia="仿宋_GB2312" w:hAnsi="仿宋" w:cs="宋体" w:hint="eastAsia"/>
          <w:kern w:val="0"/>
          <w:sz w:val="32"/>
          <w:szCs w:val="32"/>
        </w:rPr>
        <w:t>项目验收（结题）后，项目负责人按照预算实际支出做好决算工作，如实反映支出经费情况，确保决算报表真实、完整，项目负责人对决算报表的真实性负责。</w:t>
      </w:r>
    </w:p>
    <w:p w:rsidR="00AC5EB2" w:rsidRPr="00362BBA" w:rsidRDefault="00AC5EB2" w:rsidP="00AC5EB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第二章  结余资金的管理</w:t>
      </w:r>
    </w:p>
    <w:p w:rsidR="00AC5EB2" w:rsidRPr="00362BBA" w:rsidRDefault="00AC5EB2" w:rsidP="00AC5EB2">
      <w:pPr>
        <w:widowControl/>
        <w:adjustRightInd w:val="0"/>
        <w:snapToGrid w:val="0"/>
        <w:spacing w:line="560" w:lineRule="exact"/>
        <w:ind w:firstLineChars="200" w:firstLine="643"/>
        <w:jc w:val="left"/>
        <w:rPr>
          <w:rFonts w:ascii="仿宋_GB2312" w:eastAsia="仿宋_GB2312" w:hAnsi="仿宋" w:cs="Calibri"/>
          <w:b/>
          <w:bCs/>
          <w:kern w:val="0"/>
          <w:sz w:val="32"/>
          <w:szCs w:val="32"/>
        </w:rPr>
      </w:pPr>
      <w:r w:rsidRPr="00362BBA">
        <w:rPr>
          <w:rFonts w:ascii="仿宋_GB2312" w:eastAsia="仿宋_GB2312" w:hAnsi="仿宋" w:cs="Calibri" w:hint="eastAsia"/>
          <w:b/>
          <w:bCs/>
          <w:kern w:val="0"/>
          <w:sz w:val="32"/>
          <w:szCs w:val="32"/>
        </w:rPr>
        <w:t>第三条</w:t>
      </w:r>
      <w:r w:rsidRPr="00362BBA">
        <w:rPr>
          <w:rFonts w:ascii="仿宋_GB2312" w:eastAsia="仿宋_GB2312" w:hAnsi="仿宋" w:cs="Calibri" w:hint="eastAsia"/>
          <w:kern w:val="0"/>
          <w:sz w:val="32"/>
          <w:szCs w:val="32"/>
        </w:rPr>
        <w:t xml:space="preserve">  学校可将结余资金用于项目负责人的延续研究，也可统筹用于学校其他相关科研活动。</w:t>
      </w:r>
    </w:p>
    <w:p w:rsidR="00AC5EB2" w:rsidRPr="00362BBA" w:rsidRDefault="00AC5EB2" w:rsidP="00AC5EB2">
      <w:pPr>
        <w:widowControl/>
        <w:adjustRightInd w:val="0"/>
        <w:snapToGrid w:val="0"/>
        <w:spacing w:line="560" w:lineRule="exact"/>
        <w:ind w:firstLineChars="200" w:firstLine="643"/>
        <w:jc w:val="left"/>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第四条  </w:t>
      </w:r>
      <w:r w:rsidRPr="00362BBA">
        <w:rPr>
          <w:rFonts w:ascii="仿宋_GB2312" w:eastAsia="仿宋_GB2312" w:hAnsi="仿宋" w:cs="Calibri" w:hint="eastAsia"/>
          <w:kern w:val="0"/>
          <w:sz w:val="32"/>
          <w:szCs w:val="32"/>
        </w:rPr>
        <w:t>纵向科研项目完成研究任务并通过验收（结题）的，结余资金在两年内（自验收结论下达后次年的1月1日起计算）由学校统筹安排用于科研活动的直接支出；两年后未使用完的，按项目主管部门规定及通知要求退回。</w:t>
      </w:r>
    </w:p>
    <w:p w:rsidR="00AC5EB2" w:rsidRPr="00362BBA" w:rsidRDefault="00AC5EB2" w:rsidP="00AC5EB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第五条  </w:t>
      </w:r>
      <w:r w:rsidRPr="00362BBA">
        <w:rPr>
          <w:rFonts w:ascii="仿宋_GB2312" w:eastAsia="仿宋_GB2312" w:hAnsi="仿宋" w:cs="Calibri" w:hint="eastAsia"/>
          <w:kern w:val="0"/>
          <w:sz w:val="32"/>
          <w:szCs w:val="32"/>
        </w:rPr>
        <w:t>未通过</w:t>
      </w:r>
      <w:r w:rsidRPr="00362BBA">
        <w:rPr>
          <w:rFonts w:ascii="仿宋_GB2312" w:eastAsia="仿宋_GB2312" w:hAnsi="仿宋" w:cs="Calibri" w:hint="eastAsia"/>
          <w:sz w:val="32"/>
          <w:szCs w:val="32"/>
        </w:rPr>
        <w:t>验收（结题）</w:t>
      </w:r>
      <w:r w:rsidRPr="00362BBA">
        <w:rPr>
          <w:rFonts w:ascii="仿宋_GB2312" w:eastAsia="仿宋_GB2312" w:hAnsi="仿宋" w:cs="Calibri" w:hint="eastAsia"/>
          <w:kern w:val="0"/>
          <w:sz w:val="32"/>
          <w:szCs w:val="32"/>
        </w:rPr>
        <w:t>的财政科研项目，结余资金按项目主管部门规定处理。要求结余资金原渠道退回的，或因项目未通过验收和整改后通过验收等原因结余资金须按原渠道收回的，项目负责人应根据验收意见，及时、足额返还结余资金。</w:t>
      </w:r>
    </w:p>
    <w:p w:rsidR="00AC5EB2" w:rsidRPr="00362BBA" w:rsidRDefault="00AC5EB2" w:rsidP="00AC5EB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lastRenderedPageBreak/>
        <w:t>第三章  结余资金的使用</w:t>
      </w:r>
    </w:p>
    <w:p w:rsidR="00AC5EB2" w:rsidRPr="00362BBA" w:rsidRDefault="00AC5EB2" w:rsidP="00AC5EB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第六条  </w:t>
      </w:r>
      <w:r w:rsidRPr="00362BBA">
        <w:rPr>
          <w:rFonts w:ascii="仿宋_GB2312" w:eastAsia="仿宋_GB2312" w:hAnsi="仿宋" w:cs="Calibri" w:hint="eastAsia"/>
          <w:sz w:val="32"/>
          <w:szCs w:val="32"/>
        </w:rPr>
        <w:t>科研项目结余资金的使用采取申请制，科研管理与学科建设处根据各项</w:t>
      </w:r>
      <w:proofErr w:type="gramStart"/>
      <w:r w:rsidRPr="00362BBA">
        <w:rPr>
          <w:rFonts w:ascii="仿宋_GB2312" w:eastAsia="仿宋_GB2312" w:hAnsi="仿宋" w:cs="Calibri" w:hint="eastAsia"/>
          <w:sz w:val="32"/>
          <w:szCs w:val="32"/>
        </w:rPr>
        <w:t>目类型</w:t>
      </w:r>
      <w:proofErr w:type="gramEnd"/>
      <w:r w:rsidRPr="00362BBA">
        <w:rPr>
          <w:rFonts w:ascii="仿宋_GB2312" w:eastAsia="仿宋_GB2312" w:hAnsi="仿宋" w:cs="Calibri" w:hint="eastAsia"/>
          <w:sz w:val="32"/>
          <w:szCs w:val="32"/>
        </w:rPr>
        <w:t>下达验收证书（意见）时间，分批次办理结余资金使用申请，项目负责人优先使用原项目的结余资金。</w:t>
      </w:r>
      <w:proofErr w:type="gramStart"/>
      <w:r w:rsidRPr="00362BBA">
        <w:rPr>
          <w:rFonts w:ascii="仿宋_GB2312" w:eastAsia="仿宋_GB2312" w:hAnsi="仿宋" w:cs="Calibri" w:hint="eastAsia"/>
          <w:sz w:val="32"/>
          <w:szCs w:val="32"/>
        </w:rPr>
        <w:t>若项目</w:t>
      </w:r>
      <w:proofErr w:type="gramEnd"/>
      <w:r w:rsidRPr="00362BBA">
        <w:rPr>
          <w:rFonts w:ascii="仿宋_GB2312" w:eastAsia="仿宋_GB2312" w:hAnsi="仿宋" w:cs="Calibri" w:hint="eastAsia"/>
          <w:sz w:val="32"/>
          <w:szCs w:val="32"/>
        </w:rPr>
        <w:t>负责人在结余资金使用通知下达后一年内没有申请立项的，则由学校统筹使用；因不按时办理申请程序而导致结余资金被上级主管部门收回，责任由项目负责人自己承担。</w:t>
      </w:r>
    </w:p>
    <w:p w:rsidR="00AC5EB2" w:rsidRPr="00362BBA" w:rsidRDefault="00AC5EB2" w:rsidP="00AC5EB2">
      <w:pPr>
        <w:adjustRightInd w:val="0"/>
        <w:snapToGrid w:val="0"/>
        <w:spacing w:line="560" w:lineRule="exact"/>
        <w:ind w:firstLineChars="200" w:firstLine="643"/>
        <w:rPr>
          <w:rFonts w:ascii="仿宋_GB2312" w:eastAsia="仿宋_GB2312" w:hAnsi="仿宋" w:cs="Calibri"/>
          <w:sz w:val="32"/>
          <w:szCs w:val="32"/>
        </w:rPr>
      </w:pPr>
      <w:r w:rsidRPr="00362BBA">
        <w:rPr>
          <w:rFonts w:ascii="仿宋_GB2312" w:eastAsia="仿宋_GB2312" w:hAnsi="仿宋" w:cs="Calibri" w:hint="eastAsia"/>
          <w:b/>
          <w:bCs/>
          <w:sz w:val="32"/>
          <w:szCs w:val="32"/>
        </w:rPr>
        <w:t xml:space="preserve">第七条  </w:t>
      </w:r>
      <w:r w:rsidRPr="00362BBA">
        <w:rPr>
          <w:rFonts w:ascii="仿宋_GB2312" w:eastAsia="仿宋_GB2312" w:hAnsi="仿宋" w:cs="Calibri" w:hint="eastAsia"/>
          <w:sz w:val="32"/>
          <w:szCs w:val="32"/>
        </w:rPr>
        <w:t>学校统筹将项目结余资金用于国家基金重点培育。项目负责人</w:t>
      </w:r>
      <w:proofErr w:type="gramStart"/>
      <w:r w:rsidRPr="00362BBA">
        <w:rPr>
          <w:rFonts w:ascii="仿宋_GB2312" w:eastAsia="仿宋_GB2312" w:hAnsi="仿宋" w:cs="Calibri" w:hint="eastAsia"/>
          <w:sz w:val="32"/>
          <w:szCs w:val="32"/>
        </w:rPr>
        <w:t>拟展开</w:t>
      </w:r>
      <w:proofErr w:type="gramEnd"/>
      <w:r w:rsidRPr="00362BBA">
        <w:rPr>
          <w:rFonts w:ascii="仿宋_GB2312" w:eastAsia="仿宋_GB2312" w:hAnsi="仿宋" w:cs="Calibri" w:hint="eastAsia"/>
          <w:sz w:val="32"/>
          <w:szCs w:val="32"/>
        </w:rPr>
        <w:t>后续国家基金重点培育研究，提出项目申请，填写研究任务、研究计划、预期研究成果等内容，资金预算参照《海南师范大学校级科研项目管理办法》执行。</w:t>
      </w:r>
    </w:p>
    <w:p w:rsidR="00AC5EB2" w:rsidRPr="00362BBA" w:rsidRDefault="00AC5EB2" w:rsidP="00AC5EB2">
      <w:pPr>
        <w:adjustRightInd w:val="0"/>
        <w:snapToGrid w:val="0"/>
        <w:spacing w:line="560" w:lineRule="exact"/>
        <w:ind w:firstLineChars="200" w:firstLine="643"/>
        <w:rPr>
          <w:rFonts w:ascii="仿宋_GB2312" w:eastAsia="仿宋_GB2312" w:hAnsi="仿宋" w:cs="Calibri"/>
          <w:sz w:val="32"/>
          <w:szCs w:val="32"/>
        </w:rPr>
      </w:pPr>
      <w:r w:rsidRPr="00362BBA">
        <w:rPr>
          <w:rFonts w:ascii="仿宋_GB2312" w:eastAsia="仿宋_GB2312" w:hAnsi="仿宋" w:cs="Calibri" w:hint="eastAsia"/>
          <w:b/>
          <w:bCs/>
          <w:sz w:val="32"/>
          <w:szCs w:val="32"/>
        </w:rPr>
        <w:t xml:space="preserve">第八条  </w:t>
      </w:r>
      <w:r w:rsidRPr="00362BBA">
        <w:rPr>
          <w:rFonts w:ascii="仿宋_GB2312" w:eastAsia="仿宋_GB2312" w:hAnsi="仿宋" w:cs="Calibri" w:hint="eastAsia"/>
          <w:sz w:val="32"/>
          <w:szCs w:val="32"/>
        </w:rPr>
        <w:t>科研管理与学科建设处组织专家对项目进行评审，对预算的可行性、适用性进行论证</w:t>
      </w:r>
      <w:r w:rsidRPr="00362BBA">
        <w:rPr>
          <w:rFonts w:ascii="仿宋_GB2312" w:eastAsia="仿宋_GB2312" w:hAnsi="仿宋" w:cs="Calibri" w:hint="eastAsia"/>
          <w:kern w:val="0"/>
          <w:sz w:val="32"/>
          <w:szCs w:val="32"/>
        </w:rPr>
        <w:t>。通过审核立项的项目被列为校级科研项目，名称为“</w:t>
      </w:r>
      <w:r w:rsidRPr="00362BBA">
        <w:rPr>
          <w:rFonts w:ascii="仿宋_GB2312" w:eastAsia="仿宋_GB2312" w:hAnsi="仿宋" w:cs="Calibri" w:hint="eastAsia"/>
          <w:sz w:val="32"/>
          <w:szCs w:val="32"/>
        </w:rPr>
        <w:t>海南师范大学国家基金重点培育项目</w:t>
      </w:r>
      <w:r w:rsidRPr="00362BBA">
        <w:rPr>
          <w:rFonts w:ascii="仿宋_GB2312" w:eastAsia="仿宋_GB2312" w:hAnsi="仿宋" w:cs="Calibri" w:hint="eastAsia"/>
          <w:kern w:val="0"/>
          <w:sz w:val="32"/>
          <w:szCs w:val="32"/>
        </w:rPr>
        <w:t>”。资金管理参照《海南师范大学校级科研项目管理办法》执行。</w:t>
      </w:r>
    </w:p>
    <w:p w:rsidR="00AC5EB2" w:rsidRPr="00362BBA" w:rsidRDefault="00AC5EB2" w:rsidP="00AC5EB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sz w:val="32"/>
          <w:szCs w:val="32"/>
        </w:rPr>
        <w:t>第九条</w:t>
      </w:r>
      <w:r w:rsidRPr="00362BBA">
        <w:rPr>
          <w:rFonts w:ascii="仿宋_GB2312" w:eastAsia="仿宋_GB2312" w:hAnsi="仿宋" w:cs="Calibri" w:hint="eastAsia"/>
          <w:sz w:val="32"/>
          <w:szCs w:val="32"/>
        </w:rPr>
        <w:t xml:space="preserve">  立项公示后，财务处根据科研管理与学科建设处提供的相关材料办理立项手续</w:t>
      </w:r>
      <w:r w:rsidRPr="00362BBA">
        <w:rPr>
          <w:rFonts w:ascii="仿宋_GB2312" w:eastAsia="仿宋_GB2312" w:hAnsi="仿宋" w:cs="Calibri" w:hint="eastAsia"/>
          <w:kern w:val="0"/>
          <w:sz w:val="32"/>
          <w:szCs w:val="32"/>
        </w:rPr>
        <w:t>。</w:t>
      </w:r>
    </w:p>
    <w:p w:rsidR="00AC5EB2" w:rsidRPr="00362BBA" w:rsidRDefault="00AC5EB2" w:rsidP="00AC5EB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第十条  </w:t>
      </w:r>
      <w:r w:rsidRPr="00362BBA">
        <w:rPr>
          <w:rFonts w:ascii="仿宋_GB2312" w:eastAsia="仿宋_GB2312" w:hAnsi="仿宋" w:cs="Calibri" w:hint="eastAsia"/>
          <w:kern w:val="0"/>
          <w:sz w:val="32"/>
          <w:szCs w:val="32"/>
        </w:rPr>
        <w:t>科研项目已结题，科研项目负责人组织人事关系已调离学校的，学校将结余资金余额收回统筹使用。</w:t>
      </w:r>
    </w:p>
    <w:p w:rsidR="00AC5EB2" w:rsidRPr="00362BBA" w:rsidRDefault="00AC5EB2" w:rsidP="00AC5EB2">
      <w:pPr>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sz w:val="32"/>
          <w:szCs w:val="32"/>
        </w:rPr>
        <w:t>第十一条</w:t>
      </w:r>
      <w:r w:rsidRPr="00362BBA">
        <w:rPr>
          <w:rFonts w:ascii="仿宋_GB2312" w:eastAsia="仿宋_GB2312" w:hAnsi="仿宋" w:cs="Calibri" w:hint="eastAsia"/>
          <w:sz w:val="32"/>
          <w:szCs w:val="32"/>
        </w:rPr>
        <w:t xml:space="preserve">  项目负责人应本着勤俭节约的原则合理安排支出，不得违反规定使用和转移结存结余资金。</w:t>
      </w:r>
      <w:r w:rsidRPr="00362BBA">
        <w:rPr>
          <w:rFonts w:ascii="仿宋_GB2312" w:eastAsia="仿宋_GB2312" w:hAnsi="仿宋" w:cs="Calibri" w:hint="eastAsia"/>
          <w:kern w:val="0"/>
          <w:sz w:val="32"/>
          <w:szCs w:val="32"/>
        </w:rPr>
        <w:t xml:space="preserve"> </w:t>
      </w:r>
    </w:p>
    <w:p w:rsidR="00AC5EB2" w:rsidRPr="00362BBA" w:rsidRDefault="00AC5EB2" w:rsidP="00AC5EB2">
      <w:pPr>
        <w:widowControl/>
        <w:adjustRightInd w:val="0"/>
        <w:snapToGrid w:val="0"/>
        <w:spacing w:line="560" w:lineRule="exact"/>
        <w:ind w:firstLineChars="200" w:firstLine="643"/>
        <w:rPr>
          <w:rFonts w:ascii="仿宋_GB2312" w:eastAsia="仿宋_GB2312" w:hAnsi="仿宋" w:cs="Calibri"/>
          <w:spacing w:val="-8"/>
          <w:kern w:val="0"/>
          <w:sz w:val="32"/>
          <w:szCs w:val="32"/>
        </w:rPr>
      </w:pPr>
      <w:r w:rsidRPr="00362BBA">
        <w:rPr>
          <w:rFonts w:ascii="仿宋_GB2312" w:eastAsia="仿宋_GB2312" w:hAnsi="仿宋" w:cs="Calibri" w:hint="eastAsia"/>
          <w:b/>
          <w:bCs/>
          <w:kern w:val="0"/>
          <w:sz w:val="32"/>
          <w:szCs w:val="32"/>
        </w:rPr>
        <w:lastRenderedPageBreak/>
        <w:t xml:space="preserve">第十二条  </w:t>
      </w:r>
      <w:r w:rsidRPr="00362BBA">
        <w:rPr>
          <w:rFonts w:ascii="仿宋_GB2312" w:eastAsia="仿宋_GB2312" w:hAnsi="仿宋" w:cs="Calibri" w:hint="eastAsia"/>
          <w:spacing w:val="-8"/>
          <w:kern w:val="0"/>
          <w:sz w:val="32"/>
          <w:szCs w:val="32"/>
        </w:rPr>
        <w:t>项目结余资金的再立项工作原则上每学期进行1次。</w:t>
      </w:r>
    </w:p>
    <w:p w:rsidR="00AC5EB2" w:rsidRPr="00362BBA" w:rsidRDefault="00AC5EB2" w:rsidP="00AC5EB2">
      <w:pPr>
        <w:spacing w:line="560" w:lineRule="exact"/>
        <w:jc w:val="center"/>
        <w:rPr>
          <w:rFonts w:ascii="黑体" w:eastAsia="黑体" w:hAnsi="黑体" w:cs="宋体"/>
          <w:sz w:val="32"/>
          <w:szCs w:val="32"/>
        </w:rPr>
      </w:pPr>
      <w:r w:rsidRPr="00362BBA">
        <w:rPr>
          <w:rFonts w:ascii="黑体" w:eastAsia="黑体" w:hAnsi="黑体" w:cs="宋体" w:hint="eastAsia"/>
          <w:sz w:val="32"/>
          <w:szCs w:val="32"/>
        </w:rPr>
        <w:t>第四章  附则</w:t>
      </w:r>
    </w:p>
    <w:p w:rsidR="00AC5EB2" w:rsidRPr="00362BBA" w:rsidRDefault="00AC5EB2" w:rsidP="00AC5EB2">
      <w:pPr>
        <w:widowControl/>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第十三条  </w:t>
      </w:r>
      <w:r w:rsidRPr="00362BBA">
        <w:rPr>
          <w:rFonts w:ascii="仿宋_GB2312" w:eastAsia="仿宋_GB2312" w:hAnsi="仿宋" w:cs="Calibri" w:hint="eastAsia"/>
          <w:kern w:val="0"/>
          <w:sz w:val="32"/>
          <w:szCs w:val="32"/>
        </w:rPr>
        <w:t>本办法由科研管理与学科建设处负责解释。</w:t>
      </w:r>
    </w:p>
    <w:p w:rsidR="00AC5EB2" w:rsidRPr="00362BBA" w:rsidRDefault="00AC5EB2" w:rsidP="00AC5EB2">
      <w:pPr>
        <w:widowControl/>
        <w:spacing w:line="560" w:lineRule="exact"/>
        <w:ind w:firstLineChars="200" w:firstLine="643"/>
        <w:rPr>
          <w:rFonts w:ascii="仿宋_GB2312" w:eastAsia="仿宋_GB2312" w:hAnsi="仿宋" w:cs="Calibri"/>
          <w:spacing w:val="-4"/>
          <w:kern w:val="0"/>
          <w:sz w:val="32"/>
          <w:szCs w:val="32"/>
        </w:rPr>
      </w:pPr>
      <w:r w:rsidRPr="00362BBA">
        <w:rPr>
          <w:rFonts w:ascii="仿宋_GB2312" w:eastAsia="仿宋_GB2312" w:hAnsi="仿宋" w:cs="Calibri" w:hint="eastAsia"/>
          <w:b/>
          <w:bCs/>
          <w:kern w:val="0"/>
          <w:sz w:val="32"/>
          <w:szCs w:val="32"/>
        </w:rPr>
        <w:t xml:space="preserve">第十三条  </w:t>
      </w:r>
      <w:r w:rsidRPr="00362BBA">
        <w:rPr>
          <w:rFonts w:ascii="仿宋_GB2312" w:eastAsia="仿宋_GB2312" w:hAnsi="仿宋" w:cs="Calibri" w:hint="eastAsia"/>
          <w:kern w:val="0"/>
          <w:sz w:val="32"/>
          <w:szCs w:val="32"/>
        </w:rPr>
        <w:t>本</w:t>
      </w:r>
      <w:r w:rsidRPr="00362BBA">
        <w:rPr>
          <w:rFonts w:ascii="仿宋_GB2312" w:eastAsia="仿宋_GB2312" w:hAnsi="仿宋" w:cs="Calibri" w:hint="eastAsia"/>
          <w:spacing w:val="-4"/>
          <w:kern w:val="0"/>
          <w:sz w:val="32"/>
          <w:szCs w:val="32"/>
        </w:rPr>
        <w:t>办法自2017年12月28日起执行，适用此后验收（结题）的所有科研项目，及2015年后验收（结题）的所有项目。</w:t>
      </w:r>
    </w:p>
    <w:p w:rsidR="00AC5EB2" w:rsidRPr="00362BBA" w:rsidRDefault="00AC5EB2" w:rsidP="00AC5EB2">
      <w:pPr>
        <w:widowControl/>
        <w:adjustRightInd w:val="0"/>
        <w:snapToGrid w:val="0"/>
        <w:spacing w:line="560" w:lineRule="exact"/>
        <w:ind w:firstLineChars="200" w:firstLine="643"/>
        <w:rPr>
          <w:rFonts w:ascii="仿宋_GB2312" w:eastAsia="仿宋_GB2312" w:hAnsi="仿宋" w:cs="Calibri"/>
          <w:kern w:val="0"/>
          <w:sz w:val="32"/>
          <w:szCs w:val="32"/>
        </w:rPr>
      </w:pPr>
      <w:r w:rsidRPr="00362BBA">
        <w:rPr>
          <w:rFonts w:ascii="仿宋_GB2312" w:eastAsia="仿宋_GB2312" w:hAnsi="仿宋" w:cs="Calibri" w:hint="eastAsia"/>
          <w:b/>
          <w:bCs/>
          <w:kern w:val="0"/>
          <w:sz w:val="32"/>
          <w:szCs w:val="32"/>
        </w:rPr>
        <w:t xml:space="preserve">第十四条  </w:t>
      </w:r>
      <w:r w:rsidRPr="00362BBA">
        <w:rPr>
          <w:rFonts w:ascii="仿宋_GB2312" w:eastAsia="仿宋_GB2312" w:hAnsi="仿宋" w:cs="宋体" w:hint="eastAsia"/>
          <w:spacing w:val="-2"/>
          <w:kern w:val="0"/>
          <w:sz w:val="32"/>
          <w:szCs w:val="32"/>
        </w:rPr>
        <w:t>如本办法中所涉及的相应条款存在与项目主管部门（委托单位）管理办法不一致或相抵触的情况，原则上以项目主管部门（委托单位）管理办法为准。</w:t>
      </w:r>
    </w:p>
    <w:p w:rsidR="001F60DF" w:rsidRPr="00AC5EB2" w:rsidRDefault="001F60DF">
      <w:pPr>
        <w:rPr>
          <w:rFonts w:hint="eastAsia"/>
        </w:rPr>
      </w:pPr>
    </w:p>
    <w:sectPr w:rsidR="001F60DF" w:rsidRPr="00AC5EB2" w:rsidSect="001F60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C5D" w:rsidRDefault="00ED5C5D" w:rsidP="00AC5EB2">
      <w:r>
        <w:separator/>
      </w:r>
    </w:p>
  </w:endnote>
  <w:endnote w:type="continuationSeparator" w:id="0">
    <w:p w:rsidR="00ED5C5D" w:rsidRDefault="00ED5C5D" w:rsidP="00AC5E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C5D" w:rsidRDefault="00ED5C5D" w:rsidP="00AC5EB2">
      <w:r>
        <w:separator/>
      </w:r>
    </w:p>
  </w:footnote>
  <w:footnote w:type="continuationSeparator" w:id="0">
    <w:p w:rsidR="00ED5C5D" w:rsidRDefault="00ED5C5D" w:rsidP="00AC5E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5EB2"/>
    <w:rsid w:val="001F60DF"/>
    <w:rsid w:val="00AC5EB2"/>
    <w:rsid w:val="00ED5C5D"/>
    <w:rsid w:val="00FC54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E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5E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5EB2"/>
    <w:rPr>
      <w:sz w:val="18"/>
      <w:szCs w:val="18"/>
    </w:rPr>
  </w:style>
  <w:style w:type="paragraph" w:styleId="a4">
    <w:name w:val="footer"/>
    <w:basedOn w:val="a"/>
    <w:link w:val="Char0"/>
    <w:uiPriority w:val="99"/>
    <w:semiHidden/>
    <w:unhideWhenUsed/>
    <w:rsid w:val="00AC5E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5E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182</Words>
  <Characters>1044</Characters>
  <Application>Microsoft Office Word</Application>
  <DocSecurity>0</DocSecurity>
  <Lines>8</Lines>
  <Paragraphs>2</Paragraphs>
  <ScaleCrop>false</ScaleCrop>
  <Company>微软中国</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2018-05-24T22:23:00Z</dcterms:created>
  <dcterms:modified xsi:type="dcterms:W3CDTF">2018-05-24T22:23:00Z</dcterms:modified>
</cp:coreProperties>
</file>