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contextualSpacing/>
        <w:jc w:val="left"/>
        <w:outlineLvl w:val="0"/>
        <w:rPr>
          <w:rFonts w:hint="eastAsia" w:ascii="黑体" w:hAnsi="黑体" w:eastAsia="黑体" w:cs="方正小标宋简体"/>
          <w:kern w:val="0"/>
          <w:sz w:val="32"/>
          <w:szCs w:val="32"/>
        </w:rPr>
      </w:pPr>
      <w:bookmarkStart w:id="0" w:name="_Toc92878074"/>
      <w:bookmarkStart w:id="1" w:name="_Toc92287227"/>
      <w:r>
        <w:rPr>
          <w:rFonts w:ascii="黑体" w:hAnsi="黑体" w:eastAsia="黑体" w:cs="方正小标宋简体"/>
          <w:kern w:val="0"/>
          <w:sz w:val="32"/>
          <w:szCs w:val="32"/>
        </w:rPr>
        <w:t>附件1：</w:t>
      </w:r>
    </w:p>
    <w:p>
      <w:pPr>
        <w:pStyle w:val="2"/>
        <w:spacing w:line="600" w:lineRule="exact"/>
      </w:pPr>
    </w:p>
    <w:p>
      <w:pPr>
        <w:spacing w:line="600" w:lineRule="exact"/>
        <w:contextualSpacing/>
        <w:jc w:val="center"/>
        <w:outlineLvl w:val="0"/>
        <w:rPr>
          <w:rFonts w:ascii="方正小标宋简体" w:hAnsi="方正小标宋简体" w:eastAsia="方正小标宋简体" w:cs="方正小标宋简体"/>
          <w:kern w:val="0"/>
          <w:sz w:val="44"/>
          <w:szCs w:val="44"/>
        </w:rPr>
      </w:pPr>
      <w:bookmarkStart w:id="30" w:name="_GoBack"/>
      <w:r>
        <w:rPr>
          <w:rFonts w:hint="eastAsia" w:ascii="方正小标宋简体" w:hAnsi="方正小标宋简体" w:eastAsia="方正小标宋简体" w:cs="方正小标宋简体"/>
          <w:kern w:val="0"/>
          <w:sz w:val="44"/>
          <w:szCs w:val="44"/>
        </w:rPr>
        <w:t>2023年海南省哲学社会科学规划课题指南</w:t>
      </w:r>
    </w:p>
    <w:bookmarkEnd w:id="30"/>
    <w:p>
      <w:pPr>
        <w:spacing w:line="600" w:lineRule="exact"/>
        <w:contextualSpacing/>
        <w:jc w:val="center"/>
        <w:outlineLvl w:val="0"/>
        <w:rPr>
          <w:rFonts w:hint="eastAsia" w:ascii="楷体_GB2312" w:hAnsi="楷体" w:eastAsia="楷体_GB2312" w:cs="楷体"/>
          <w:kern w:val="0"/>
          <w:sz w:val="32"/>
          <w:szCs w:val="32"/>
        </w:rPr>
      </w:pPr>
      <w:r>
        <w:rPr>
          <w:rFonts w:hint="eastAsia" w:ascii="楷体_GB2312" w:hAnsi="楷体" w:eastAsia="楷体_GB2312" w:cs="楷体"/>
          <w:kern w:val="0"/>
          <w:sz w:val="32"/>
          <w:szCs w:val="32"/>
        </w:rPr>
        <w:t>（海南省哲学社会科学规划年度课题和研究基地课题）</w:t>
      </w:r>
      <w:bookmarkEnd w:id="0"/>
      <w:bookmarkEnd w:id="1"/>
    </w:p>
    <w:p>
      <w:pPr>
        <w:spacing w:line="600" w:lineRule="exact"/>
      </w:pPr>
    </w:p>
    <w:p>
      <w:pPr>
        <w:spacing w:line="600" w:lineRule="exact"/>
        <w:ind w:left="640" w:hanging="640" w:hangingChars="200"/>
        <w:contextualSpacing/>
        <w:rPr>
          <w:rFonts w:ascii="黑体" w:hAnsi="黑体" w:eastAsia="黑体"/>
          <w:bCs/>
          <w:sz w:val="32"/>
          <w:szCs w:val="32"/>
        </w:rPr>
      </w:pPr>
      <w:r>
        <w:rPr>
          <w:rFonts w:hint="eastAsia" w:ascii="黑体" w:hAnsi="黑体" w:eastAsia="黑体" w:cs="黑体"/>
          <w:bCs/>
          <w:sz w:val="32"/>
          <w:szCs w:val="32"/>
        </w:rPr>
        <w:t>一、</w:t>
      </w:r>
      <w:r>
        <w:rPr>
          <w:rFonts w:hint="eastAsia" w:ascii="黑体" w:hAnsi="黑体" w:eastAsia="黑体"/>
          <w:bCs/>
          <w:sz w:val="32"/>
          <w:szCs w:val="32"/>
        </w:rPr>
        <w:fldChar w:fldCharType="begin"/>
      </w:r>
      <w:r>
        <w:rPr>
          <w:rFonts w:hint="eastAsia" w:ascii="黑体" w:hAnsi="黑体" w:eastAsia="黑体" w:cs="黑体"/>
          <w:bCs/>
          <w:sz w:val="32"/>
          <w:szCs w:val="32"/>
        </w:rPr>
        <w:instrText xml:space="preserve"> HYPERLINK \l "_Toc60086854" </w:instrText>
      </w:r>
      <w:r>
        <w:rPr>
          <w:rFonts w:hint="eastAsia" w:ascii="黑体" w:hAnsi="黑体" w:eastAsia="黑体"/>
          <w:bCs/>
          <w:sz w:val="32"/>
          <w:szCs w:val="32"/>
        </w:rPr>
        <w:fldChar w:fldCharType="separate"/>
      </w:r>
      <w:r>
        <w:rPr>
          <w:rFonts w:hint="eastAsia" w:ascii="黑体" w:hAnsi="黑体" w:eastAsia="黑体" w:cs="黑体"/>
          <w:bCs/>
          <w:sz w:val="32"/>
          <w:szCs w:val="32"/>
        </w:rPr>
        <w:t>马列·科社</w:t>
      </w:r>
      <w:r>
        <w:rPr>
          <w:rFonts w:hint="eastAsia" w:ascii="黑体" w:hAnsi="黑体" w:eastAsia="黑体"/>
          <w:bCs/>
          <w:sz w:val="32"/>
          <w:szCs w:val="32"/>
        </w:rPr>
        <w:fldChar w:fldCharType="end"/>
      </w:r>
      <w:r>
        <w:rPr>
          <w:rFonts w:hint="eastAsia" w:ascii="黑体" w:hAnsi="黑体" w:eastAsia="黑体" w:cs="黑体"/>
          <w:bCs/>
          <w:sz w:val="32"/>
          <w:szCs w:val="32"/>
        </w:rPr>
        <w:t>、哲学与政治学</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1．中国式现代化的重大理论和实践研究</w:t>
      </w:r>
    </w:p>
    <w:p>
      <w:pPr>
        <w:pStyle w:val="6"/>
        <w:spacing w:line="600" w:lineRule="exact"/>
        <w:ind w:left="640" w:hanging="640" w:hangingChars="200"/>
        <w:rPr>
          <w:sz w:val="32"/>
          <w:szCs w:val="32"/>
        </w:rPr>
      </w:pPr>
      <w:r>
        <w:rPr>
          <w:rFonts w:hint="eastAsia" w:ascii="仿宋_GB2312" w:hAnsi="仿宋_GB2312" w:eastAsia="仿宋_GB2312" w:cs="仿宋_GB2312"/>
          <w:bCs/>
          <w:sz w:val="32"/>
          <w:szCs w:val="32"/>
        </w:rPr>
        <w:t>2．中国式现代化的模式与道路研究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3．推进马克思主义中国化时代化研究</w:t>
      </w:r>
    </w:p>
    <w:p>
      <w:pPr>
        <w:pStyle w:val="6"/>
        <w:spacing w:line="600" w:lineRule="exact"/>
        <w:ind w:left="640" w:hanging="640" w:hangingChars="200"/>
        <w:rPr>
          <w:rFonts w:ascii="仿宋_GB2312" w:hAnsi="仿宋_GB2312" w:eastAsia="仿宋_GB2312" w:cs="仿宋_GB2312"/>
          <w:bCs/>
          <w:kern w:val="2"/>
          <w:sz w:val="32"/>
          <w:szCs w:val="32"/>
        </w:rPr>
      </w:pPr>
      <w:r>
        <w:rPr>
          <w:rFonts w:hint="eastAsia" w:ascii="仿宋_GB2312" w:hAnsi="仿宋_GB2312" w:eastAsia="仿宋_GB2312" w:cs="仿宋_GB2312"/>
          <w:bCs/>
          <w:kern w:val="2"/>
          <w:sz w:val="32"/>
          <w:szCs w:val="32"/>
        </w:rPr>
        <w:t>4．新时代马克思主义方法论的创新与发展研究</w:t>
      </w:r>
    </w:p>
    <w:p>
      <w:pPr>
        <w:overflowPunct w:val="0"/>
        <w:topLinePunct/>
        <w:spacing w:line="600" w:lineRule="exact"/>
        <w:ind w:left="640" w:hanging="640" w:hangingChars="200"/>
        <w:rPr>
          <w:rFonts w:ascii="仿宋_GB2312" w:hAnsi="仿宋_GB2312" w:eastAsia="仿宋_GB2312" w:cs="仿宋_GB2312"/>
          <w:sz w:val="32"/>
          <w:szCs w:val="32"/>
        </w:rPr>
      </w:pPr>
      <w:bookmarkStart w:id="2" w:name="_Toc1226820650"/>
      <w:bookmarkStart w:id="3" w:name="_Toc1215316704"/>
      <w:bookmarkStart w:id="4" w:name="_Toc1063222533"/>
      <w:r>
        <w:rPr>
          <w:rFonts w:hint="eastAsia" w:ascii="仿宋_GB2312" w:hAnsi="仿宋_GB2312" w:eastAsia="仿宋_GB2312" w:cs="仿宋_GB2312"/>
          <w:sz w:val="32"/>
          <w:szCs w:val="32"/>
        </w:rPr>
        <w:t>5．新发展理念、新发展格局与新发展阶段的哲学基础研究</w:t>
      </w:r>
    </w:p>
    <w:p>
      <w:pPr>
        <w:overflowPunct w:val="0"/>
        <w:topLinePunct/>
        <w:spacing w:line="600" w:lineRule="exact"/>
        <w:ind w:left="640" w:hanging="640" w:hanging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6．习近平新时代中国特色社会主义思想的哲学基础研究</w:t>
      </w:r>
      <w:bookmarkEnd w:id="2"/>
      <w:bookmarkEnd w:id="3"/>
      <w:bookmarkEnd w:id="4"/>
    </w:p>
    <w:p>
      <w:pPr>
        <w:pStyle w:val="6"/>
        <w:spacing w:line="600" w:lineRule="exact"/>
        <w:ind w:left="640" w:hanging="640" w:hangingChars="200"/>
        <w:rPr>
          <w:rFonts w:ascii="仿宋_GB2312" w:hAnsi="仿宋_GB2312" w:eastAsia="仿宋_GB2312" w:cs="仿宋_GB2312"/>
          <w:kern w:val="2"/>
          <w:sz w:val="32"/>
          <w:szCs w:val="32"/>
          <w:lang w:bidi="ar"/>
        </w:rPr>
      </w:pPr>
      <w:r>
        <w:rPr>
          <w:rFonts w:hint="eastAsia" w:ascii="仿宋_GB2312" w:hAnsi="仿宋_GB2312" w:eastAsia="仿宋_GB2312" w:cs="仿宋_GB2312"/>
          <w:kern w:val="2"/>
          <w:sz w:val="32"/>
          <w:szCs w:val="32"/>
          <w:lang w:bidi="ar"/>
        </w:rPr>
        <w:t>7．海南推进海洋强国建设的历程、经验与未来展望研究</w:t>
      </w:r>
    </w:p>
    <w:p>
      <w:pPr>
        <w:overflowPunct w:val="0"/>
        <w:topLinePunct/>
        <w:spacing w:line="600" w:lineRule="exact"/>
        <w:ind w:left="640" w:hanging="640" w:hangingChars="200"/>
        <w:rPr>
          <w:sz w:val="32"/>
          <w:szCs w:val="32"/>
        </w:rPr>
      </w:pPr>
      <w:r>
        <w:rPr>
          <w:rFonts w:hint="eastAsia" w:ascii="仿宋_GB2312" w:hAnsi="仿宋_GB2312" w:eastAsia="仿宋_GB2312" w:cs="仿宋_GB2312"/>
          <w:sz w:val="32"/>
          <w:szCs w:val="32"/>
        </w:rPr>
        <w:t>8．海南自贸港建设重大风险防控思想体系研究</w:t>
      </w:r>
    </w:p>
    <w:p>
      <w:pPr>
        <w:pStyle w:val="6"/>
        <w:spacing w:line="600" w:lineRule="exact"/>
        <w:ind w:left="640" w:hanging="640" w:hangingChars="200"/>
        <w:rPr>
          <w:rFonts w:ascii="仿宋_GB2312" w:hAnsi="仿宋_GB2312" w:eastAsia="仿宋_GB2312" w:cs="仿宋_GB2312"/>
          <w:bCs/>
          <w:kern w:val="2"/>
          <w:sz w:val="32"/>
          <w:szCs w:val="32"/>
        </w:rPr>
      </w:pPr>
      <w:r>
        <w:rPr>
          <w:rFonts w:hint="eastAsia" w:ascii="仿宋_GB2312" w:hAnsi="仿宋" w:eastAsia="仿宋_GB2312"/>
          <w:sz w:val="32"/>
          <w:szCs w:val="32"/>
        </w:rPr>
        <w:t>9．海南自贸港生态文明建设研究</w:t>
      </w:r>
      <w:r>
        <w:rPr>
          <w:rFonts w:hint="eastAsia" w:ascii="仿宋_GB2312" w:hAnsi="仿宋_GB2312" w:eastAsia="仿宋_GB2312" w:cs="仿宋_GB2312"/>
          <w:bCs/>
          <w:kern w:val="2"/>
          <w:sz w:val="32"/>
          <w:szCs w:val="32"/>
        </w:rPr>
        <w:t xml:space="preserve">         </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10．海南自贸港意识形态领域</w:t>
      </w:r>
      <w:r>
        <w:rPr>
          <w:rFonts w:ascii="仿宋_GB2312" w:hAnsi="仿宋" w:eastAsia="仿宋_GB2312"/>
          <w:sz w:val="32"/>
          <w:szCs w:val="32"/>
        </w:rPr>
        <w:t>重大问题</w:t>
      </w:r>
      <w:r>
        <w:rPr>
          <w:rFonts w:hint="eastAsia" w:ascii="仿宋_GB2312" w:hAnsi="仿宋" w:eastAsia="仿宋_GB2312"/>
          <w:sz w:val="32"/>
          <w:szCs w:val="32"/>
        </w:rPr>
        <w:t>研究</w:t>
      </w:r>
    </w:p>
    <w:p>
      <w:pPr>
        <w:pStyle w:val="6"/>
        <w:spacing w:line="600" w:lineRule="exact"/>
        <w:ind w:left="640" w:hanging="640" w:hangingChars="200"/>
        <w:rPr>
          <w:sz w:val="32"/>
          <w:szCs w:val="32"/>
        </w:rPr>
      </w:pPr>
      <w:r>
        <w:rPr>
          <w:rFonts w:hint="eastAsia" w:ascii="仿宋_GB2312" w:hAnsi="仿宋_GB2312" w:eastAsia="仿宋_GB2312" w:cs="仿宋_GB2312"/>
          <w:bCs/>
          <w:kern w:val="2"/>
          <w:sz w:val="32"/>
          <w:szCs w:val="32"/>
        </w:rPr>
        <w:t>11．海南红色资源在弘扬伟大建党精神中的运用研究</w:t>
      </w:r>
    </w:p>
    <w:p>
      <w:pPr>
        <w:pStyle w:val="6"/>
        <w:spacing w:line="600" w:lineRule="exact"/>
        <w:ind w:left="640" w:hanging="640" w:hangingChars="200"/>
        <w:rPr>
          <w:rFonts w:ascii="仿宋_GB2312" w:hAnsi="仿宋" w:eastAsia="仿宋_GB2312"/>
          <w:sz w:val="32"/>
          <w:szCs w:val="32"/>
        </w:rPr>
      </w:pPr>
      <w:bookmarkStart w:id="5" w:name="_Toc92287228"/>
      <w:bookmarkStart w:id="6" w:name="_Toc92878075"/>
      <w:r>
        <w:rPr>
          <w:rFonts w:hint="eastAsia" w:ascii="仿宋_GB2312" w:hAnsi="仿宋" w:eastAsia="仿宋_GB2312"/>
          <w:sz w:val="32"/>
          <w:szCs w:val="32"/>
        </w:rPr>
        <w:t>12．南海周边民族国家共同价值研究</w:t>
      </w:r>
    </w:p>
    <w:p>
      <w:pPr>
        <w:spacing w:line="600" w:lineRule="exact"/>
        <w:ind w:left="420" w:hanging="420" w:hangingChars="200"/>
      </w:pPr>
    </w:p>
    <w:p>
      <w:pPr>
        <w:spacing w:line="600" w:lineRule="exact"/>
        <w:ind w:left="640" w:hanging="640" w:hangingChars="200"/>
        <w:contextualSpacing/>
        <w:rPr>
          <w:rFonts w:ascii="黑体" w:hAnsi="黑体" w:eastAsia="黑体"/>
          <w:bCs/>
          <w:sz w:val="32"/>
          <w:szCs w:val="32"/>
        </w:rPr>
      </w:pPr>
      <w:r>
        <w:rPr>
          <w:rFonts w:hint="eastAsia" w:ascii="黑体" w:hAnsi="黑体" w:eastAsia="黑体" w:cs="黑体"/>
          <w:bCs/>
          <w:sz w:val="32"/>
          <w:szCs w:val="32"/>
        </w:rPr>
        <w:t>二、党史·党建</w:t>
      </w:r>
      <w:bookmarkEnd w:id="5"/>
      <w:bookmarkEnd w:id="6"/>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1．党员领导干部斗争本领提升的理论与实践研究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2．增强干部防范化解风险本领的机制研究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3．新时代党员领导干部思想道德建设研究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4．海南自贸港高水平开放形态下党建工作创新研究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5．新时代海南全面从严管理干部制度体系研究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6．海南精神谱系及具体精神研究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7．党建引领海南自贸港建设的制度创新研究</w:t>
      </w:r>
    </w:p>
    <w:p>
      <w:pPr>
        <w:overflowPunct w:val="0"/>
        <w:topLinePunct/>
        <w:snapToGrid w:val="0"/>
        <w:spacing w:line="600" w:lineRule="exact"/>
        <w:ind w:left="640" w:hanging="640" w:hangingChars="200"/>
        <w:rPr>
          <w:rFonts w:ascii="仿宋_GB2312" w:hAnsi="仿宋" w:eastAsia="仿宋_GB2312"/>
          <w:sz w:val="32"/>
          <w:szCs w:val="32"/>
        </w:rPr>
      </w:pPr>
      <w:bookmarkStart w:id="7" w:name="_Toc92878076"/>
      <w:bookmarkStart w:id="8" w:name="_Toc92287229"/>
      <w:r>
        <w:rPr>
          <w:rFonts w:hint="eastAsia" w:ascii="仿宋_GB2312" w:hAnsi="仿宋" w:eastAsia="仿宋_GB2312"/>
          <w:sz w:val="32"/>
          <w:szCs w:val="32"/>
        </w:rPr>
        <w:t>8．海南自贸港混合所有制企业党建研究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9．海南自贸港非公企业党建工作研究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10．海南自贸港高校党建研究</w:t>
      </w:r>
      <w:bookmarkEnd w:id="7"/>
      <w:bookmarkEnd w:id="8"/>
    </w:p>
    <w:p>
      <w:pPr>
        <w:pStyle w:val="6"/>
        <w:spacing w:line="600" w:lineRule="exact"/>
        <w:ind w:left="400" w:hanging="400" w:hangingChars="200"/>
      </w:pPr>
    </w:p>
    <w:p>
      <w:pPr>
        <w:spacing w:line="600" w:lineRule="exact"/>
        <w:ind w:left="640" w:hanging="640" w:hangingChars="200"/>
        <w:contextualSpacing/>
        <w:rPr>
          <w:rFonts w:ascii="黑体" w:hAnsi="黑体" w:eastAsia="黑体"/>
          <w:bCs/>
          <w:sz w:val="32"/>
          <w:szCs w:val="32"/>
        </w:rPr>
      </w:pPr>
      <w:bookmarkStart w:id="9" w:name="_Toc92878077"/>
      <w:bookmarkStart w:id="10" w:name="_Toc92287230"/>
      <w:r>
        <w:rPr>
          <w:rFonts w:hint="eastAsia" w:ascii="黑体" w:hAnsi="黑体" w:eastAsia="黑体" w:cs="黑体"/>
          <w:bCs/>
          <w:sz w:val="32"/>
          <w:szCs w:val="32"/>
        </w:rPr>
        <w:t>三、经济</w:t>
      </w:r>
      <w:bookmarkEnd w:id="9"/>
      <w:bookmarkEnd w:id="10"/>
      <w:r>
        <w:rPr>
          <w:rFonts w:hint="eastAsia" w:ascii="黑体" w:hAnsi="黑体" w:eastAsia="黑体" w:cs="黑体"/>
          <w:bCs/>
          <w:sz w:val="32"/>
          <w:szCs w:val="32"/>
        </w:rPr>
        <w:t>学</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1．海南自贸港构建高水平市场经济体制的理论与实践研究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2．海南生态产品价值实现机制研究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3．“双碳”背景下农光互补与乡村振兴耦合互动机制研究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4．海南自贸港引领自贸试验区提升战略研究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5．海南打造ESG标杆省份研究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6．海南自贸港主导产业发展研究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7．海南自贸港竞争能力提升路径探究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8．海南自贸港经济发展与碳达峰、碳中和问题研究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9．海南自贸港国际税收争议研究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10．海南自贸港与粤港澳大湾区联动发展研究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11．海南自贸港打造中国与东盟市场交汇点研究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12．海南自贸港创建一流营商环境对策研究</w:t>
      </w:r>
    </w:p>
    <w:p>
      <w:pPr>
        <w:pStyle w:val="6"/>
        <w:spacing w:line="600" w:lineRule="exact"/>
        <w:ind w:left="640" w:hanging="640" w:hanging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13．海南自贸港海洋产业与海洋经济研究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14．自贸港建设背景下海南临空经济发展模式研究</w:t>
      </w:r>
    </w:p>
    <w:p>
      <w:pPr>
        <w:overflowPunct w:val="0"/>
        <w:topLinePunct/>
        <w:snapToGrid w:val="0"/>
        <w:spacing w:line="600" w:lineRule="exact"/>
        <w:ind w:left="640" w:hanging="640" w:hangingChars="200"/>
        <w:rPr>
          <w:rFonts w:ascii="仿宋_GB2312" w:hAnsi="仿宋" w:eastAsia="仿宋_GB2312"/>
          <w:w w:val="98"/>
          <w:sz w:val="32"/>
          <w:szCs w:val="32"/>
        </w:rPr>
      </w:pPr>
      <w:r>
        <w:rPr>
          <w:rFonts w:hint="eastAsia" w:ascii="仿宋_GB2312" w:hAnsi="仿宋" w:eastAsia="仿宋_GB2312"/>
          <w:sz w:val="32"/>
          <w:szCs w:val="32"/>
        </w:rPr>
        <w:t>15．</w:t>
      </w:r>
      <w:r>
        <w:rPr>
          <w:rFonts w:hint="eastAsia" w:ascii="仿宋_GB2312" w:hAnsi="仿宋" w:eastAsia="仿宋_GB2312"/>
          <w:w w:val="98"/>
          <w:sz w:val="32"/>
          <w:szCs w:val="32"/>
        </w:rPr>
        <w:t>对接国际高水平经贸规则的海南自贸港服务贸易创新发展路径研究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16．2025年封关运作后海南自贸港金融税收制度及其配套政策研究</w:t>
      </w:r>
    </w:p>
    <w:p>
      <w:pPr>
        <w:overflowPunct w:val="0"/>
        <w:topLinePunct/>
        <w:snapToGrid w:val="0"/>
        <w:spacing w:line="600" w:lineRule="exact"/>
        <w:ind w:left="640" w:hanging="640" w:hangingChars="200"/>
        <w:rPr>
          <w:rFonts w:ascii="仿宋_GB2312" w:hAnsi="仿宋" w:eastAsia="仿宋_GB2312"/>
          <w:w w:val="98"/>
          <w:sz w:val="32"/>
          <w:szCs w:val="32"/>
        </w:rPr>
      </w:pPr>
      <w:r>
        <w:rPr>
          <w:rFonts w:hint="eastAsia" w:ascii="仿宋_GB2312" w:hAnsi="仿宋" w:eastAsia="仿宋_GB2312"/>
          <w:sz w:val="32"/>
          <w:szCs w:val="32"/>
        </w:rPr>
        <w:t>17．</w:t>
      </w:r>
      <w:r>
        <w:rPr>
          <w:rFonts w:hint="eastAsia" w:ascii="仿宋_GB2312" w:hAnsi="仿宋" w:eastAsia="仿宋_GB2312"/>
          <w:w w:val="98"/>
          <w:sz w:val="32"/>
          <w:szCs w:val="32"/>
        </w:rPr>
        <w:t>“双碳”目标下绿色金融助力海南经济高质量发展的路径与策略研究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18．“双碳”背景下海南旅游发展路径研究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19．海南自贸港建设重大风险的识别和防范策略研究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20．海南政府发债对自贸港经济促进作用研究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21．海南自贸港贸易管制体系研究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22．海南自贸港对标CPTPP协定做好压力测试路径研究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23．RCEP投资争端解决机制研究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24．海南自贸港离岛免税政策存续研究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25．基于全产业链的海南影视文化产业研究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26．数字经济赋能海南自贸港乡村振兴研究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27．海南热带雨林“四库三统一”价值评估和价值实现研究</w:t>
      </w:r>
    </w:p>
    <w:p>
      <w:pPr>
        <w:overflowPunct w:val="0"/>
        <w:topLinePunct/>
        <w:snapToGrid w:val="0"/>
        <w:spacing w:line="600" w:lineRule="exact"/>
        <w:ind w:left="640" w:hanging="640" w:hangingChars="200"/>
        <w:rPr>
          <w:rFonts w:ascii="仿宋_GB2312" w:hAnsi="仿宋" w:eastAsia="仿宋_GB2312"/>
          <w:w w:val="95"/>
          <w:sz w:val="32"/>
          <w:szCs w:val="32"/>
        </w:rPr>
      </w:pPr>
      <w:r>
        <w:rPr>
          <w:rFonts w:hint="eastAsia" w:ascii="仿宋_GB2312" w:hAnsi="仿宋" w:eastAsia="仿宋_GB2312"/>
          <w:sz w:val="32"/>
          <w:szCs w:val="32"/>
        </w:rPr>
        <w:t>28．</w:t>
      </w:r>
      <w:r>
        <w:rPr>
          <w:rFonts w:hint="eastAsia" w:ascii="仿宋_GB2312" w:hAnsi="仿宋" w:eastAsia="仿宋_GB2312"/>
          <w:w w:val="95"/>
          <w:sz w:val="32"/>
          <w:szCs w:val="32"/>
        </w:rPr>
        <w:t>国家生态文明试验区战略背景下海南热带雨林国家公园建设问题研究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29．海南瓜菜价格预测与种植决策研究</w:t>
      </w:r>
      <w:bookmarkStart w:id="11" w:name="_Toc92878081"/>
      <w:bookmarkStart w:id="12" w:name="_Toc92287234"/>
    </w:p>
    <w:p>
      <w:pPr>
        <w:pStyle w:val="6"/>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30．海南发展壮大中医药产业研究</w:t>
      </w:r>
    </w:p>
    <w:p>
      <w:pPr>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31．海南常年蔬菜保供稳价策略研究</w:t>
      </w:r>
    </w:p>
    <w:p>
      <w:pPr>
        <w:pStyle w:val="6"/>
        <w:spacing w:line="600" w:lineRule="exact"/>
        <w:ind w:left="640" w:hanging="640" w:hangingChars="200"/>
      </w:pPr>
      <w:r>
        <w:rPr>
          <w:rFonts w:hint="eastAsia" w:ascii="仿宋_GB2312" w:hAnsi="仿宋" w:eastAsia="仿宋_GB2312"/>
          <w:sz w:val="32"/>
          <w:szCs w:val="32"/>
        </w:rPr>
        <w:t>32．海南港航物流业发展研究</w:t>
      </w:r>
    </w:p>
    <w:p>
      <w:pPr>
        <w:spacing w:line="600" w:lineRule="exact"/>
        <w:ind w:left="420" w:hanging="420" w:hangingChars="200"/>
      </w:pPr>
    </w:p>
    <w:p>
      <w:pPr>
        <w:spacing w:line="600" w:lineRule="exact"/>
        <w:ind w:left="640" w:hanging="640" w:hangingChars="200"/>
        <w:contextualSpacing/>
        <w:rPr>
          <w:rFonts w:ascii="黑体" w:hAnsi="黑体" w:eastAsia="黑体"/>
          <w:bCs/>
          <w:sz w:val="32"/>
          <w:szCs w:val="32"/>
        </w:rPr>
      </w:pPr>
      <w:r>
        <w:rPr>
          <w:rFonts w:hint="eastAsia" w:ascii="黑体" w:hAnsi="黑体" w:eastAsia="黑体" w:cs="黑体"/>
          <w:bCs/>
          <w:sz w:val="32"/>
          <w:szCs w:val="32"/>
        </w:rPr>
        <w:t>四、法学</w:t>
      </w:r>
      <w:bookmarkEnd w:id="11"/>
      <w:bookmarkEnd w:id="12"/>
    </w:p>
    <w:p>
      <w:pPr>
        <w:overflowPunct w:val="0"/>
        <w:topLinePunct/>
        <w:snapToGrid w:val="0"/>
        <w:spacing w:line="600" w:lineRule="exact"/>
        <w:ind w:left="640" w:hanging="640" w:hangingChars="200"/>
        <w:rPr>
          <w:rFonts w:ascii="仿宋_GB2312" w:hAnsi="仿宋" w:eastAsia="仿宋_GB2312"/>
          <w:sz w:val="32"/>
          <w:szCs w:val="32"/>
        </w:rPr>
      </w:pPr>
      <w:bookmarkStart w:id="13" w:name="_Toc92878082"/>
      <w:bookmarkStart w:id="14" w:name="_Toc92287235"/>
      <w:r>
        <w:rPr>
          <w:rFonts w:hint="eastAsia" w:ascii="仿宋_GB2312" w:hAnsi="仿宋" w:eastAsia="仿宋_GB2312"/>
          <w:sz w:val="32"/>
          <w:szCs w:val="32"/>
        </w:rPr>
        <w:t>1．海洋生态环境的司法保护研究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2．陆海统筹背景下生物多样性法律保护比较研究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3．海南自贸港法治体系构建问题研究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4．与海南自贸港相适应的司法体制改革研究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5．海南自贸港公证体制机制创新研究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6．海南自贸港国际商事纠纷集中审判机制研究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7．海南自贸港法院审级职能研究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8．海南自贸港数据流动法律问题研究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9．海南自贸港税收法律问题研究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10．海南自贸港封关运作后反走私法律问题研究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11．海南自贸港政府信息公开及其例外制度研究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12．海南养老服务体系建设的法制化保障研究</w:t>
      </w:r>
    </w:p>
    <w:p>
      <w:pPr>
        <w:pStyle w:val="6"/>
        <w:spacing w:line="600" w:lineRule="exact"/>
        <w:ind w:left="400" w:hanging="400" w:hangingChars="200"/>
      </w:pPr>
    </w:p>
    <w:p>
      <w:pPr>
        <w:spacing w:line="600" w:lineRule="exact"/>
        <w:ind w:left="640" w:hanging="640" w:hangingChars="200"/>
        <w:contextualSpacing/>
        <w:rPr>
          <w:rFonts w:ascii="黑体" w:hAnsi="黑体" w:eastAsia="黑体"/>
          <w:bCs/>
          <w:sz w:val="32"/>
          <w:szCs w:val="32"/>
        </w:rPr>
      </w:pPr>
      <w:r>
        <w:rPr>
          <w:rFonts w:hint="eastAsia" w:ascii="黑体" w:hAnsi="黑体" w:eastAsia="黑体" w:cs="黑体"/>
          <w:bCs/>
          <w:sz w:val="32"/>
          <w:szCs w:val="32"/>
        </w:rPr>
        <w:t>五、社会学</w:t>
      </w:r>
      <w:bookmarkEnd w:id="13"/>
      <w:bookmarkEnd w:id="14"/>
    </w:p>
    <w:p>
      <w:pPr>
        <w:overflowPunct w:val="0"/>
        <w:topLinePunct/>
        <w:snapToGrid w:val="0"/>
        <w:spacing w:line="600" w:lineRule="exact"/>
        <w:ind w:left="640" w:hanging="640" w:hangingChars="200"/>
        <w:rPr>
          <w:rFonts w:ascii="仿宋_GB2312" w:hAnsi="仿宋" w:eastAsia="仿宋_GB2312"/>
          <w:sz w:val="32"/>
          <w:szCs w:val="32"/>
        </w:rPr>
      </w:pPr>
      <w:bookmarkStart w:id="15" w:name="_Toc92287236"/>
      <w:bookmarkStart w:id="16" w:name="_Toc92878083"/>
      <w:r>
        <w:rPr>
          <w:rFonts w:hint="eastAsia" w:ascii="仿宋_GB2312" w:hAnsi="仿宋_GB2312" w:eastAsia="仿宋_GB2312" w:cs="仿宋_GB2312"/>
          <w:bCs/>
          <w:sz w:val="32"/>
          <w:szCs w:val="32"/>
        </w:rPr>
        <w:t>1</w:t>
      </w:r>
      <w:r>
        <w:rPr>
          <w:rFonts w:hint="eastAsia" w:ascii="仿宋_GB2312" w:hAnsi="仿宋" w:eastAsia="仿宋_GB2312"/>
          <w:sz w:val="32"/>
          <w:szCs w:val="32"/>
        </w:rPr>
        <w:t>．海南人口流动趋势分析与城市接纳能力对策研究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2．老年人融入数字社会的问题与对策研究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3．新时代海南自贸港社会文明程度提升研究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4．新时代海南农村精神文明建设研究</w:t>
      </w:r>
    </w:p>
    <w:p>
      <w:pPr>
        <w:overflowPunct w:val="0"/>
        <w:topLinePunct/>
        <w:snapToGrid w:val="0"/>
        <w:spacing w:line="600" w:lineRule="exact"/>
        <w:ind w:left="640" w:hanging="640" w:hanging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5．中华优秀传统文化创造性转化、创新性发展研究</w:t>
      </w:r>
    </w:p>
    <w:p>
      <w:pPr>
        <w:overflowPunct w:val="0"/>
        <w:topLinePunct/>
        <w:snapToGrid w:val="0"/>
        <w:spacing w:line="600" w:lineRule="exact"/>
        <w:ind w:left="640" w:hanging="640" w:hanging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6．中华易学文化在海南民间传播与应用研究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7．海南自贸港建设封关背景下的社会工作本土化问题研究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8．海南自贸港社会政策和社会工作问题研究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9．“互联网”+医养智慧社区居家养老服务模式研究</w:t>
      </w:r>
    </w:p>
    <w:p>
      <w:pPr>
        <w:overflowPunct w:val="0"/>
        <w:topLinePunct/>
        <w:snapToGrid w:val="0"/>
        <w:spacing w:line="600" w:lineRule="exact"/>
        <w:ind w:left="640" w:hanging="640" w:hangingChars="200"/>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0．海南社区居家养老服务运作模式研究</w:t>
      </w:r>
    </w:p>
    <w:p>
      <w:pPr>
        <w:overflowPunct w:val="0"/>
        <w:topLinePunct/>
        <w:snapToGrid w:val="0"/>
        <w:spacing w:line="600" w:lineRule="exact"/>
        <w:ind w:left="640" w:hanging="640" w:hangingChars="200"/>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1．自贸港背景下海南旅居（老年）人群健康照护需求与服务模式构建研究</w:t>
      </w:r>
      <w:bookmarkEnd w:id="15"/>
      <w:bookmarkEnd w:id="16"/>
      <w:bookmarkStart w:id="17" w:name="_Toc92878084"/>
      <w:bookmarkStart w:id="18" w:name="_Toc92287237"/>
    </w:p>
    <w:p>
      <w:pPr>
        <w:pStyle w:val="6"/>
        <w:spacing w:line="600" w:lineRule="exact"/>
        <w:ind w:left="640" w:hanging="640" w:hangingChars="200"/>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2．海南自贸港促进华人华侨要素“回流”问题研究</w:t>
      </w:r>
    </w:p>
    <w:p>
      <w:pPr>
        <w:spacing w:line="600" w:lineRule="exact"/>
        <w:ind w:left="640" w:hanging="640" w:hangingChars="200"/>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3．华人华侨在“一带一路”建设中的作用研究</w:t>
      </w:r>
    </w:p>
    <w:p>
      <w:pPr>
        <w:pStyle w:val="6"/>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14．高质量建设残疾人康复服务保障体系研究</w:t>
      </w:r>
    </w:p>
    <w:p>
      <w:pPr>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15．在自贸港背景下如何推进与国际接轨的无障碍环境建设研究</w:t>
      </w:r>
    </w:p>
    <w:p>
      <w:pPr>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16．海南残疾人高质量就业创业政策措施研究</w:t>
      </w:r>
    </w:p>
    <w:p>
      <w:pPr>
        <w:pStyle w:val="6"/>
        <w:spacing w:line="600" w:lineRule="exact"/>
        <w:ind w:left="400" w:hanging="400" w:hangingChars="200"/>
      </w:pPr>
    </w:p>
    <w:p>
      <w:pPr>
        <w:spacing w:line="600" w:lineRule="exact"/>
        <w:ind w:left="640" w:hanging="640" w:hangingChars="200"/>
        <w:rPr>
          <w:rFonts w:ascii="仿宋_GB2312" w:hAnsi="仿宋_GB2312" w:eastAsia="仿宋_GB2312" w:cs="仿宋_GB2312"/>
          <w:b/>
          <w:sz w:val="32"/>
          <w:szCs w:val="32"/>
        </w:rPr>
      </w:pPr>
      <w:r>
        <w:rPr>
          <w:rFonts w:hint="eastAsia" w:ascii="黑体" w:hAnsi="黑体" w:eastAsia="黑体" w:cs="黑体"/>
          <w:bCs/>
          <w:sz w:val="32"/>
          <w:szCs w:val="32"/>
        </w:rPr>
        <w:t>六、民族学</w:t>
      </w:r>
      <w:bookmarkEnd w:id="17"/>
      <w:bookmarkEnd w:id="18"/>
      <w:r>
        <w:rPr>
          <w:rFonts w:hint="eastAsia" w:ascii="黑体" w:hAnsi="黑体" w:eastAsia="黑体" w:cs="黑体"/>
          <w:bCs/>
          <w:sz w:val="32"/>
          <w:szCs w:val="32"/>
        </w:rPr>
        <w:t>、历史学</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1．海南省民族地区社会治理结构研究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2．海南民族教育发展史研究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3．海南重要文化和自然遗产系统性保护研究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4．海南民族优秀传统手工艺保护和传承研究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5．海南省少数民族文化挖掘保护和创新发展研究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6．黎族文化与东南亚地区诸民族历史文化研究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7．建国以来琼籍华侨与祖居地关系研究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8．海南士人廉洁品质对清廉自贸港建设启示研究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9．南海文明与地中海文明比较研究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10．海南民间信仰研究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11．海南华侨文化与海南社会史研究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12．海南渔民精神研究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13．海南古代渔业相关文献整理研究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14．海南渔业文化遗产的保护与活化研究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15．海南红色文化基因与自贸港建设研究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16．海瑞廉政文化对清廉自贸港建设借鉴研究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17．海南地方历史文化研究</w:t>
      </w:r>
    </w:p>
    <w:p>
      <w:pPr>
        <w:pStyle w:val="6"/>
        <w:spacing w:line="600" w:lineRule="exact"/>
        <w:ind w:left="400" w:hanging="400" w:hangingChars="200"/>
      </w:pPr>
    </w:p>
    <w:p>
      <w:pPr>
        <w:spacing w:line="600" w:lineRule="exact"/>
        <w:ind w:left="640" w:hanging="640" w:hangingChars="200"/>
        <w:contextualSpacing/>
        <w:rPr>
          <w:rFonts w:ascii="黑体" w:hAnsi="黑体" w:eastAsia="黑体"/>
          <w:sz w:val="32"/>
          <w:szCs w:val="32"/>
        </w:rPr>
      </w:pPr>
      <w:r>
        <w:rPr>
          <w:rFonts w:hint="eastAsia" w:ascii="黑体" w:hAnsi="黑体" w:eastAsia="黑体" w:cs="黑体"/>
          <w:sz w:val="32"/>
          <w:szCs w:val="32"/>
        </w:rPr>
        <w:t>七、中国文学、外国文学与语言学</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1．文化视域下中国近代文学主题的选择与演进研究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2．海南自贸港建设背景下东南亚国家语种人才培养研究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3．自贸港背景下新媒体微纪录片与海南地方特色产业融合发展研究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4．自贸港建设背景下海南文化安全研究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5．自贸港建设背景下海南文化自信研究</w:t>
      </w:r>
    </w:p>
    <w:p>
      <w:pPr>
        <w:overflowPunct w:val="0"/>
        <w:topLinePunct/>
        <w:snapToGrid w:val="0"/>
        <w:spacing w:line="600" w:lineRule="exact"/>
        <w:ind w:left="640" w:hanging="640" w:hangingChars="200"/>
        <w:rPr>
          <w:rFonts w:ascii="仿宋_GB2312" w:hAnsi="仿宋" w:eastAsia="仿宋_GB2312"/>
          <w:sz w:val="32"/>
          <w:szCs w:val="32"/>
        </w:rPr>
      </w:pPr>
      <w:bookmarkStart w:id="19" w:name="_Toc286824315"/>
      <w:bookmarkStart w:id="20" w:name="_Toc11462281"/>
      <w:bookmarkStart w:id="21" w:name="_Toc1843547101"/>
      <w:r>
        <w:rPr>
          <w:rFonts w:hint="eastAsia" w:ascii="仿宋_GB2312" w:hAnsi="仿宋" w:eastAsia="仿宋_GB2312"/>
          <w:sz w:val="32"/>
          <w:szCs w:val="32"/>
        </w:rPr>
        <w:t>6．海南自贸港文学艺术发展研究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7．</w:t>
      </w:r>
      <w:bookmarkEnd w:id="19"/>
      <w:bookmarkEnd w:id="20"/>
      <w:bookmarkStart w:id="22" w:name="_Toc1337803205"/>
      <w:bookmarkStart w:id="23" w:name="_Toc2143897130"/>
      <w:r>
        <w:rPr>
          <w:rFonts w:hint="eastAsia" w:ascii="仿宋_GB2312" w:hAnsi="仿宋" w:eastAsia="仿宋_GB2312"/>
          <w:sz w:val="32"/>
          <w:szCs w:val="32"/>
        </w:rPr>
        <w:t>海南红色文学研究</w:t>
      </w:r>
      <w:bookmarkEnd w:id="21"/>
      <w:bookmarkEnd w:id="22"/>
      <w:bookmarkEnd w:id="23"/>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8</w:t>
      </w:r>
      <w:r>
        <w:rPr>
          <w:rFonts w:hint="eastAsia" w:ascii="仿宋_GB2312" w:hAnsi="仿宋" w:eastAsia="仿宋_GB2312"/>
          <w:sz w:val="32"/>
          <w:szCs w:val="32"/>
          <w:lang w:val="en"/>
        </w:rPr>
        <w:t>．</w:t>
      </w:r>
      <w:r>
        <w:rPr>
          <w:rFonts w:hint="eastAsia" w:ascii="仿宋_GB2312" w:hAnsi="仿宋" w:eastAsia="仿宋_GB2312"/>
          <w:sz w:val="32"/>
          <w:szCs w:val="32"/>
        </w:rPr>
        <w:t>海南重要作家作品研究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9．自贸港建设背景下海南本土文化外宣翻译研究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10．海南民歌中红色文化及传承创新研究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11．海南黎语语言使用现状及其演变研究</w:t>
      </w:r>
    </w:p>
    <w:p>
      <w:pPr>
        <w:overflowPunct w:val="0"/>
        <w:topLinePunct/>
        <w:snapToGrid w:val="0"/>
        <w:spacing w:line="600" w:lineRule="exact"/>
        <w:ind w:left="640" w:hanging="640" w:hangingChars="200"/>
        <w:rPr>
          <w:rFonts w:hint="eastAsia" w:ascii="仿宋_GB2312" w:hAnsi="仿宋" w:eastAsia="仿宋_GB2312"/>
          <w:sz w:val="32"/>
          <w:szCs w:val="32"/>
        </w:rPr>
      </w:pPr>
      <w:r>
        <w:rPr>
          <w:rFonts w:hint="eastAsia" w:ascii="仿宋_GB2312" w:hAnsi="仿宋" w:eastAsia="仿宋_GB2312"/>
          <w:sz w:val="32"/>
          <w:szCs w:val="32"/>
        </w:rPr>
        <w:t>12．海南岛地名研究</w:t>
      </w:r>
    </w:p>
    <w:p>
      <w:pPr>
        <w:pStyle w:val="2"/>
      </w:pPr>
    </w:p>
    <w:p>
      <w:pPr>
        <w:spacing w:line="600" w:lineRule="exact"/>
        <w:ind w:left="640" w:hanging="640" w:hangingChars="200"/>
        <w:contextualSpacing/>
        <w:rPr>
          <w:rFonts w:ascii="黑体" w:hAnsi="黑体" w:eastAsia="黑体"/>
          <w:bCs/>
          <w:sz w:val="32"/>
          <w:szCs w:val="32"/>
        </w:rPr>
      </w:pPr>
      <w:bookmarkStart w:id="24" w:name="_Toc92878093"/>
      <w:bookmarkStart w:id="25" w:name="_Toc92287246"/>
      <w:r>
        <w:rPr>
          <w:rFonts w:hint="eastAsia" w:ascii="黑体" w:hAnsi="黑体" w:eastAsia="黑体" w:cs="黑体"/>
          <w:bCs/>
          <w:sz w:val="32"/>
          <w:szCs w:val="32"/>
        </w:rPr>
        <w:t>八、新闻学与传播学</w:t>
      </w:r>
      <w:bookmarkEnd w:id="24"/>
      <w:bookmarkEnd w:id="25"/>
      <w:r>
        <w:rPr>
          <w:rFonts w:hint="eastAsia" w:ascii="黑体" w:hAnsi="黑体" w:eastAsia="黑体" w:cs="黑体"/>
          <w:bCs/>
          <w:sz w:val="32"/>
          <w:szCs w:val="32"/>
        </w:rPr>
        <w:t>、图书馆·情报与文献学</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1．全媒体传播体系建设的理论与实践研究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2．塑造主流舆论新格局的理论与实践研究</w:t>
      </w:r>
    </w:p>
    <w:p>
      <w:pPr>
        <w:overflowPunct w:val="0"/>
        <w:topLinePunct/>
        <w:snapToGrid w:val="0"/>
        <w:spacing w:line="600" w:lineRule="exact"/>
        <w:ind w:left="640" w:hanging="640" w:hangingChars="200"/>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．海南自贸港世界影响力研究</w:t>
      </w:r>
    </w:p>
    <w:p>
      <w:pPr>
        <w:overflowPunct w:val="0"/>
        <w:topLinePunct/>
        <w:snapToGrid w:val="0"/>
        <w:spacing w:line="600" w:lineRule="exact"/>
        <w:ind w:left="640" w:hanging="640" w:hangingChars="200"/>
        <w:rPr>
          <w:rFonts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．海南自贸港国际形象塑造与对外传播研究</w:t>
      </w:r>
    </w:p>
    <w:p>
      <w:pPr>
        <w:overflowPunct w:val="0"/>
        <w:topLinePunct/>
        <w:snapToGrid w:val="0"/>
        <w:spacing w:line="600" w:lineRule="exact"/>
        <w:ind w:left="640" w:hanging="640" w:hangingChars="200"/>
        <w:rPr>
          <w:rFonts w:ascii="仿宋_GB2312" w:hAnsi="仿宋" w:eastAsia="仿宋_GB2312"/>
          <w:sz w:val="32"/>
          <w:szCs w:val="32"/>
        </w:rPr>
      </w:pPr>
      <w:r>
        <w:rPr>
          <w:rFonts w:ascii="仿宋_GB2312" w:hAnsi="仿宋" w:eastAsia="仿宋_GB2312"/>
          <w:sz w:val="32"/>
          <w:szCs w:val="32"/>
        </w:rPr>
        <w:t>5</w:t>
      </w:r>
      <w:r>
        <w:rPr>
          <w:rFonts w:hint="eastAsia" w:ascii="仿宋_GB2312" w:hAnsi="仿宋" w:eastAsia="仿宋_GB2312"/>
          <w:sz w:val="32"/>
          <w:szCs w:val="32"/>
        </w:rPr>
        <w:t>．自贸港建设背景下海南艺术传播的美学思考研究</w:t>
      </w:r>
    </w:p>
    <w:p>
      <w:pPr>
        <w:overflowPunct w:val="0"/>
        <w:topLinePunct/>
        <w:snapToGrid w:val="0"/>
        <w:spacing w:line="600" w:lineRule="exact"/>
        <w:ind w:left="640" w:hanging="640" w:hangingChars="200"/>
        <w:rPr>
          <w:rFonts w:ascii="仿宋_GB2312" w:hAnsi="仿宋" w:eastAsia="仿宋_GB2312"/>
          <w:sz w:val="32"/>
          <w:szCs w:val="32"/>
        </w:rPr>
      </w:pPr>
      <w:r>
        <w:rPr>
          <w:rFonts w:ascii="仿宋_GB2312" w:hAnsi="仿宋" w:eastAsia="仿宋_GB2312"/>
          <w:sz w:val="32"/>
          <w:szCs w:val="32"/>
        </w:rPr>
        <w:t>6</w:t>
      </w:r>
      <w:r>
        <w:rPr>
          <w:rFonts w:hint="eastAsia" w:ascii="仿宋_GB2312" w:hAnsi="仿宋" w:eastAsia="仿宋_GB2312"/>
          <w:sz w:val="32"/>
          <w:szCs w:val="32"/>
        </w:rPr>
        <w:t>．在琼二代台胞口述历史档案库建设研究</w:t>
      </w:r>
    </w:p>
    <w:p>
      <w:pPr>
        <w:overflowPunct w:val="0"/>
        <w:topLinePunct/>
        <w:snapToGrid w:val="0"/>
        <w:spacing w:line="600" w:lineRule="exact"/>
        <w:ind w:left="640" w:hanging="640" w:hangingChars="200"/>
        <w:rPr>
          <w:rFonts w:ascii="仿宋_GB2312" w:hAnsi="仿宋" w:eastAsia="仿宋_GB2312"/>
          <w:sz w:val="32"/>
          <w:szCs w:val="32"/>
        </w:rPr>
      </w:pPr>
      <w:r>
        <w:rPr>
          <w:rFonts w:ascii="仿宋_GB2312" w:hAnsi="仿宋" w:eastAsia="仿宋_GB2312"/>
          <w:sz w:val="32"/>
          <w:szCs w:val="32"/>
        </w:rPr>
        <w:t>7</w:t>
      </w:r>
      <w:r>
        <w:rPr>
          <w:rFonts w:hint="eastAsia" w:ascii="仿宋_GB2312" w:hAnsi="仿宋" w:eastAsia="仿宋_GB2312"/>
          <w:sz w:val="32"/>
          <w:szCs w:val="32"/>
        </w:rPr>
        <w:t>．海南本土文化传承与传播研究</w:t>
      </w:r>
    </w:p>
    <w:p>
      <w:pPr>
        <w:overflowPunct w:val="0"/>
        <w:topLinePunct/>
        <w:snapToGrid w:val="0"/>
        <w:spacing w:line="600" w:lineRule="exact"/>
        <w:ind w:left="640" w:hanging="640" w:hangingChars="200"/>
        <w:rPr>
          <w:rFonts w:ascii="仿宋_GB2312" w:hAnsi="仿宋" w:eastAsia="仿宋_GB2312"/>
          <w:sz w:val="32"/>
          <w:szCs w:val="32"/>
        </w:rPr>
      </w:pPr>
      <w:r>
        <w:rPr>
          <w:rFonts w:ascii="仿宋_GB2312" w:hAnsi="仿宋" w:eastAsia="仿宋_GB2312"/>
          <w:sz w:val="32"/>
          <w:szCs w:val="32"/>
        </w:rPr>
        <w:t>8</w:t>
      </w:r>
      <w:r>
        <w:rPr>
          <w:rFonts w:hint="eastAsia" w:ascii="仿宋_GB2312" w:hAnsi="仿宋" w:eastAsia="仿宋_GB2312"/>
          <w:sz w:val="32"/>
          <w:szCs w:val="32"/>
        </w:rPr>
        <w:t>．后疫情时代海南电影产业发展策略研究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9．国际电影节的文化融合与价值引导研究</w:t>
      </w:r>
      <w:bookmarkStart w:id="26" w:name="_Toc92287249"/>
      <w:bookmarkStart w:id="27" w:name="_Toc92878096"/>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10．海南自贸港对外宣传能力建设研究</w:t>
      </w:r>
    </w:p>
    <w:p>
      <w:pPr>
        <w:pStyle w:val="6"/>
        <w:spacing w:line="600" w:lineRule="exact"/>
        <w:ind w:left="400" w:hanging="400" w:hangingChars="200"/>
      </w:pPr>
    </w:p>
    <w:p>
      <w:pPr>
        <w:spacing w:line="600" w:lineRule="exact"/>
        <w:ind w:left="640" w:hanging="640" w:hangingChars="200"/>
        <w:contextualSpacing/>
        <w:rPr>
          <w:rFonts w:ascii="黑体" w:hAnsi="黑体" w:eastAsia="黑体"/>
          <w:bCs/>
          <w:sz w:val="32"/>
          <w:szCs w:val="32"/>
        </w:rPr>
      </w:pPr>
      <w:r>
        <w:rPr>
          <w:rFonts w:hint="eastAsia" w:ascii="黑体" w:hAnsi="黑体" w:eastAsia="黑体" w:cs="黑体"/>
          <w:bCs/>
          <w:sz w:val="32"/>
          <w:szCs w:val="32"/>
        </w:rPr>
        <w:t>九、管理学</w:t>
      </w:r>
      <w:bookmarkEnd w:id="26"/>
      <w:bookmarkEnd w:id="27"/>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1．全面推进乡村振兴与共同富裕研究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2．推进城乡融合和区域协调发展研究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3．完善城市社区治理体系研究</w:t>
      </w:r>
    </w:p>
    <w:p>
      <w:pPr>
        <w:overflowPunct w:val="0"/>
        <w:topLinePunct/>
        <w:snapToGrid w:val="0"/>
        <w:spacing w:line="600" w:lineRule="exact"/>
        <w:ind w:left="640" w:hanging="640" w:hangingChars="200"/>
        <w:rPr>
          <w:rFonts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完善乡村治理体系研究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5．中国式现代化的海南历史方位和路径方向研究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6．海南自贸港现代产业体系的构建模式和实现路径研究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7．海南自贸港封关运作监管体系与监管能力研究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8．构建与海南自贸港相适应的现代化海洋治理体系研究</w:t>
      </w:r>
    </w:p>
    <w:p>
      <w:pPr>
        <w:overflowPunct w:val="0"/>
        <w:topLinePunct/>
        <w:snapToGrid w:val="0"/>
        <w:spacing w:line="600" w:lineRule="exact"/>
        <w:ind w:left="640" w:hanging="640" w:hangingChars="200"/>
        <w:rPr>
          <w:rFonts w:ascii="仿宋_GB2312" w:eastAsia="仿宋_GB2312"/>
          <w:color w:val="000000"/>
          <w:sz w:val="32"/>
          <w:szCs w:val="32"/>
        </w:rPr>
      </w:pPr>
      <w:r>
        <w:rPr>
          <w:rFonts w:hint="eastAsia" w:ascii="仿宋_GB2312" w:hAnsi="仿宋" w:eastAsia="仿宋_GB2312"/>
          <w:color w:val="000000"/>
          <w:sz w:val="32"/>
          <w:szCs w:val="32"/>
        </w:rPr>
        <w:t>9．</w:t>
      </w:r>
      <w:r>
        <w:rPr>
          <w:rFonts w:hint="eastAsia" w:ascii="仿宋_GB2312" w:eastAsia="仿宋_GB2312"/>
          <w:color w:val="000000"/>
          <w:sz w:val="32"/>
          <w:szCs w:val="32"/>
        </w:rPr>
        <w:t>RCEP与海南自贸港建设研究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10．</w:t>
      </w:r>
      <w:r>
        <w:rPr>
          <w:rFonts w:hint="eastAsia" w:ascii="仿宋_GB2312" w:hAnsi="仿宋_GB2312" w:eastAsia="仿宋_GB2312" w:cs="仿宋_GB2312"/>
          <w:bCs/>
          <w:spacing w:val="-6"/>
          <w:sz w:val="32"/>
          <w:szCs w:val="32"/>
        </w:rPr>
        <w:t>国际集装箱运输发展趋势及对洋浦港港口物流发展的要求研究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11．“中国洋浦港”船籍港政策研究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12．“中国洋浦港”船籍港建设运行模式实证研究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13．后疫情时代海南自贸港国际交流合作研究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14．共同富裕海南方案实现路径研究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15．海南自贸港诚信建设体系研究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16．海南人才政策优化研究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17．2025年封关运作后海南自贸港法治化对标国际顶级自贸港的具体路径研究</w:t>
      </w:r>
    </w:p>
    <w:p>
      <w:pPr>
        <w:spacing w:line="600" w:lineRule="exact"/>
        <w:ind w:left="605" w:hanging="608" w:hangingChars="200"/>
        <w:contextualSpacing/>
        <w:rPr>
          <w:rFonts w:ascii="仿宋_GB2312" w:hAnsi="仿宋_GB2312" w:eastAsia="仿宋_GB2312" w:cs="仿宋_GB2312"/>
          <w:bCs/>
          <w:w w:val="95"/>
          <w:sz w:val="32"/>
          <w:szCs w:val="32"/>
        </w:rPr>
      </w:pPr>
      <w:r>
        <w:rPr>
          <w:rFonts w:hint="eastAsia" w:ascii="仿宋_GB2312" w:hAnsi="仿宋_GB2312" w:eastAsia="仿宋_GB2312" w:cs="仿宋_GB2312"/>
          <w:bCs/>
          <w:w w:val="95"/>
          <w:sz w:val="32"/>
          <w:szCs w:val="32"/>
        </w:rPr>
        <w:t>18．</w:t>
      </w:r>
      <w:r>
        <w:rPr>
          <w:rFonts w:hint="eastAsia" w:ascii="仿宋_GB2312" w:eastAsia="仿宋_GB2312"/>
          <w:color w:val="000000"/>
          <w:sz w:val="32"/>
          <w:szCs w:val="32"/>
        </w:rPr>
        <w:t>2025年封关运作后海南自贸港人员进出自由便利制度及相关配套研究</w:t>
      </w:r>
    </w:p>
    <w:p>
      <w:pPr>
        <w:spacing w:line="600" w:lineRule="exact"/>
        <w:ind w:left="620" w:hanging="620" w:hangingChars="200"/>
        <w:contextualSpacing/>
        <w:rPr>
          <w:rFonts w:ascii="仿宋_GB2312" w:hAnsi="仿宋_GB2312" w:eastAsia="仿宋_GB2312" w:cs="仿宋_GB2312"/>
          <w:bCs/>
          <w:w w:val="97"/>
          <w:sz w:val="32"/>
          <w:szCs w:val="32"/>
        </w:rPr>
      </w:pPr>
      <w:r>
        <w:rPr>
          <w:rFonts w:hint="eastAsia" w:ascii="仿宋_GB2312" w:hAnsi="仿宋_GB2312" w:eastAsia="仿宋_GB2312" w:cs="仿宋_GB2312"/>
          <w:bCs/>
          <w:w w:val="97"/>
          <w:sz w:val="32"/>
          <w:szCs w:val="32"/>
        </w:rPr>
        <w:t>19．</w:t>
      </w:r>
      <w:r>
        <w:rPr>
          <w:rFonts w:hint="eastAsia" w:ascii="仿宋_GB2312" w:hAnsi="仿宋_GB2312" w:eastAsia="仿宋_GB2312" w:cs="仿宋_GB2312"/>
          <w:bCs/>
          <w:spacing w:val="-6"/>
          <w:sz w:val="32"/>
          <w:szCs w:val="32"/>
        </w:rPr>
        <w:t>2025年封关运作后海南自贸港与国际自贸港比较研究</w:t>
      </w:r>
    </w:p>
    <w:p>
      <w:pPr>
        <w:spacing w:line="600" w:lineRule="exact"/>
        <w:ind w:left="640" w:hanging="640" w:hangingChars="200"/>
        <w:contextualSpacing/>
      </w:pPr>
      <w:r>
        <w:rPr>
          <w:rFonts w:hint="eastAsia" w:ascii="仿宋_GB2312" w:hAnsi="仿宋_GB2312" w:eastAsia="仿宋_GB2312" w:cs="仿宋_GB2312"/>
          <w:bCs/>
          <w:sz w:val="32"/>
          <w:szCs w:val="32"/>
        </w:rPr>
        <w:t>20．“</w:t>
      </w:r>
      <w:r>
        <w:rPr>
          <w:rFonts w:hint="eastAsia" w:ascii="仿宋_GB2312" w:hAnsi="仿宋_GB2312" w:eastAsia="仿宋_GB2312" w:cs="仿宋_GB2312"/>
          <w:bCs/>
          <w:spacing w:val="-6"/>
          <w:sz w:val="32"/>
          <w:szCs w:val="32"/>
        </w:rPr>
        <w:t>海碳中心”建设背景下海南碳排放权会计核算体系构建研究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21．数字乡村战略下海南智慧农业数字化平台建设研究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22．海南自贸港优惠政策体系中企业所得税问题研究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23．消费升级背景下海南自贸港离岛免税O2O（线上及线下）消费者行为研究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24．“双碳”目标下海南自贸港绿色金融发展对策研究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25．海南自贸港进出口食品安全海关监管模式研究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26．海南自贸港教育国际化创新发展模式研究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27．基于自贸港的科技创新和成果转化体制机制改革和创新研究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28．乡村振兴下的产业生态化和生态产业化推进模式与实现路径研究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29．海南热带雨林国家公园生态旅游研究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30．海南热带雨林国家公园建设碳库路径研究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31．海南创意产业高质量发展研究</w:t>
      </w:r>
    </w:p>
    <w:p>
      <w:pPr>
        <w:overflowPunct w:val="0"/>
        <w:topLinePunct/>
        <w:spacing w:line="600" w:lineRule="exact"/>
        <w:ind w:left="640" w:hanging="640" w:hanging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32．海南自贸港免税产业发展研究</w:t>
      </w:r>
    </w:p>
    <w:p>
      <w:pPr>
        <w:overflowPunct w:val="0"/>
        <w:topLinePunct/>
        <w:snapToGrid w:val="0"/>
        <w:spacing w:line="600" w:lineRule="exact"/>
        <w:ind w:left="640" w:hanging="640" w:hangingChars="200"/>
        <w:rPr>
          <w:rFonts w:ascii="仿宋_GB2312" w:hAnsi="仿宋" w:eastAsia="仿宋_GB2312"/>
          <w:color w:val="000000"/>
          <w:sz w:val="32"/>
          <w:szCs w:val="32"/>
        </w:rPr>
      </w:pPr>
      <w:r>
        <w:rPr>
          <w:rFonts w:hint="eastAsia" w:ascii="仿宋_GB2312" w:eastAsia="仿宋_GB2312"/>
          <w:color w:val="000000"/>
          <w:sz w:val="32"/>
          <w:szCs w:val="32"/>
        </w:rPr>
        <w:t>33．</w:t>
      </w:r>
      <w:r>
        <w:rPr>
          <w:rFonts w:hint="eastAsia" w:ascii="仿宋_GB2312" w:hAnsi="仿宋" w:eastAsia="仿宋_GB2312"/>
          <w:color w:val="000000"/>
          <w:sz w:val="32"/>
          <w:szCs w:val="32"/>
        </w:rPr>
        <w:t>海南自贸港</w:t>
      </w:r>
      <w:r>
        <w:rPr>
          <w:rFonts w:hint="eastAsia" w:ascii="仿宋_GB2312" w:eastAsia="仿宋_GB2312"/>
          <w:color w:val="000000"/>
          <w:sz w:val="32"/>
          <w:szCs w:val="32"/>
        </w:rPr>
        <w:t>建设背景下土地制度改革研究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34．海南历史文化村镇旅游商业空间发展研究</w:t>
      </w:r>
    </w:p>
    <w:p>
      <w:pPr>
        <w:overflowPunct w:val="0"/>
        <w:topLinePunct/>
        <w:snapToGrid w:val="0"/>
        <w:spacing w:line="600" w:lineRule="exact"/>
        <w:ind w:left="640" w:hanging="640" w:hangingChars="200"/>
        <w:rPr>
          <w:rFonts w:ascii="仿宋_GB2312" w:eastAsia="仿宋_GB2312"/>
          <w:color w:val="000000"/>
          <w:sz w:val="32"/>
          <w:szCs w:val="32"/>
        </w:rPr>
      </w:pPr>
      <w:r>
        <w:rPr>
          <w:rFonts w:hint="eastAsia" w:ascii="仿宋_GB2312" w:eastAsia="仿宋_GB2312"/>
          <w:color w:val="000000"/>
          <w:sz w:val="32"/>
          <w:szCs w:val="32"/>
        </w:rPr>
        <w:t>35．后疫情时代海南城镇化研究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36．海南乡村旅游碳汇研究</w:t>
      </w:r>
    </w:p>
    <w:p>
      <w:pPr>
        <w:overflowPunct w:val="0"/>
        <w:topLinePunct/>
        <w:snapToGrid w:val="0"/>
        <w:spacing w:line="600" w:lineRule="exact"/>
        <w:ind w:left="640" w:hanging="640" w:hangingChars="200"/>
        <w:rPr>
          <w:rFonts w:ascii="仿宋_GB2312" w:eastAsia="仿宋_GB2312"/>
          <w:color w:val="000000"/>
          <w:sz w:val="32"/>
          <w:szCs w:val="32"/>
        </w:rPr>
      </w:pPr>
      <w:r>
        <w:rPr>
          <w:rFonts w:hint="eastAsia" w:ascii="仿宋_GB2312" w:eastAsia="仿宋_GB2312"/>
          <w:color w:val="000000"/>
          <w:sz w:val="32"/>
          <w:szCs w:val="32"/>
        </w:rPr>
        <w:t>37．海南自贸港碳排放交易所构建与运营研究</w:t>
      </w:r>
    </w:p>
    <w:p>
      <w:pPr>
        <w:spacing w:line="600" w:lineRule="exact"/>
        <w:ind w:left="640" w:hanging="640" w:hangingChars="200"/>
        <w:rPr>
          <w:color w:val="000000"/>
        </w:rPr>
      </w:pPr>
      <w:r>
        <w:rPr>
          <w:rFonts w:hint="eastAsia" w:ascii="仿宋_GB2312" w:eastAsia="仿宋_GB2312"/>
          <w:color w:val="000000"/>
          <w:sz w:val="32"/>
          <w:szCs w:val="32"/>
        </w:rPr>
        <w:t>38．海南自贸港重点园区发展研究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39．企业物流网络对农村消费结构演化路径研究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40．海南地理标志农产品品牌优化策略研究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41．海南引入东南亚劳工问题研究</w:t>
      </w:r>
    </w:p>
    <w:p>
      <w:pPr>
        <w:pStyle w:val="6"/>
        <w:spacing w:line="600" w:lineRule="exact"/>
        <w:ind w:left="640" w:hanging="640" w:hanging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42．国家军民融合创新示范区先导性项目研究</w:t>
      </w:r>
    </w:p>
    <w:p>
      <w:pPr>
        <w:spacing w:line="600" w:lineRule="exact"/>
        <w:ind w:left="640" w:hanging="640" w:hanging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43．越南海洋政策研究</w:t>
      </w:r>
    </w:p>
    <w:p>
      <w:pPr>
        <w:pStyle w:val="6"/>
        <w:spacing w:line="600" w:lineRule="exact"/>
        <w:ind w:left="640" w:hanging="640" w:hanging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44．海南突发公共卫生事件应急管理机制研究</w:t>
      </w:r>
    </w:p>
    <w:p/>
    <w:p>
      <w:pPr>
        <w:spacing w:line="600" w:lineRule="exact"/>
        <w:ind w:left="640" w:hanging="640" w:hangingChars="200"/>
        <w:contextualSpacing/>
        <w:rPr>
          <w:rFonts w:ascii="黑体" w:hAnsi="黑体" w:eastAsia="黑体"/>
          <w:bCs/>
          <w:sz w:val="32"/>
          <w:szCs w:val="32"/>
        </w:rPr>
      </w:pPr>
      <w:r>
        <w:rPr>
          <w:rFonts w:hint="eastAsia" w:ascii="黑体" w:hAnsi="黑体" w:eastAsia="黑体" w:cs="黑体"/>
          <w:bCs/>
          <w:sz w:val="32"/>
          <w:szCs w:val="32"/>
        </w:rPr>
        <w:t>十、教育学、</w:t>
      </w:r>
      <w:bookmarkStart w:id="28" w:name="_Toc92287248"/>
      <w:bookmarkStart w:id="29" w:name="_Toc92878095"/>
      <w:r>
        <w:rPr>
          <w:rFonts w:hint="eastAsia" w:ascii="黑体" w:hAnsi="黑体" w:eastAsia="黑体" w:cs="黑体"/>
          <w:bCs/>
          <w:sz w:val="32"/>
          <w:szCs w:val="32"/>
        </w:rPr>
        <w:t>体育学</w:t>
      </w:r>
      <w:bookmarkEnd w:id="28"/>
      <w:bookmarkEnd w:id="29"/>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1．推动新时代思想政治教育创新发展研究</w:t>
      </w:r>
    </w:p>
    <w:p>
      <w:pPr>
        <w:spacing w:line="600" w:lineRule="exact"/>
        <w:ind w:left="640" w:hanging="640" w:hanging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2．建设高质量教育体系的理论与实践研究</w:t>
      </w:r>
    </w:p>
    <w:p>
      <w:pPr>
        <w:pStyle w:val="6"/>
        <w:spacing w:line="600" w:lineRule="exact"/>
        <w:ind w:left="640" w:hanging="640" w:hangingChars="200"/>
      </w:pPr>
      <w:r>
        <w:rPr>
          <w:rFonts w:hint="eastAsia" w:ascii="仿宋_GB2312" w:hAnsi="仿宋_GB2312" w:eastAsia="仿宋_GB2312" w:cs="仿宋_GB2312"/>
          <w:bCs/>
          <w:sz w:val="32"/>
          <w:szCs w:val="32"/>
        </w:rPr>
        <w:t>3．新时代教育数字化的理论与实践研究</w:t>
      </w:r>
    </w:p>
    <w:p>
      <w:pPr>
        <w:pStyle w:val="6"/>
        <w:spacing w:line="600" w:lineRule="exact"/>
        <w:ind w:left="640" w:hanging="640" w:hangingChars="200"/>
      </w:pPr>
      <w:r>
        <w:rPr>
          <w:rFonts w:hint="eastAsia" w:ascii="仿宋_GB2312" w:hAnsi="仿宋_GB2312" w:eastAsia="仿宋_GB2312" w:cs="仿宋_GB2312"/>
          <w:bCs/>
          <w:sz w:val="32"/>
          <w:szCs w:val="32"/>
        </w:rPr>
        <w:t>4．教育现代化视域下城乡社区群众自我教育研究</w:t>
      </w:r>
    </w:p>
    <w:p>
      <w:pPr>
        <w:spacing w:line="600" w:lineRule="exact"/>
        <w:ind w:left="640" w:hanging="640" w:hanging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5．新时代好青年的思想政治素养研究</w:t>
      </w:r>
    </w:p>
    <w:p>
      <w:pPr>
        <w:pStyle w:val="6"/>
        <w:spacing w:line="600" w:lineRule="exact"/>
        <w:ind w:left="640" w:hanging="640" w:hanging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6．大学生勤俭节约精神教育研究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7．海南教育对外开放的法治建设研究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8．海南自贸港国际教育发展研究</w:t>
      </w:r>
    </w:p>
    <w:p>
      <w:pPr>
        <w:pStyle w:val="6"/>
        <w:overflowPunct w:val="0"/>
        <w:topLinePunct/>
        <w:spacing w:line="600" w:lineRule="exact"/>
        <w:ind w:left="640" w:hanging="640" w:hangingChars="200"/>
        <w:rPr>
          <w:rFonts w:ascii="仿宋_GB2312" w:hAnsi="仿宋_GB2312" w:eastAsia="仿宋_GB2312" w:cs="仿宋_GB2312"/>
        </w:rPr>
      </w:pPr>
      <w:r>
        <w:rPr>
          <w:rFonts w:hint="eastAsia" w:ascii="仿宋_GB2312" w:hAnsi="仿宋_GB2312" w:eastAsia="仿宋_GB2312" w:cs="仿宋_GB2312"/>
          <w:sz w:val="32"/>
          <w:szCs w:val="32"/>
        </w:rPr>
        <w:t>9．陵水黎安国际教育创新试验区的现状、问题与对策研究</w:t>
      </w:r>
    </w:p>
    <w:p>
      <w:pPr>
        <w:overflowPunct w:val="0"/>
        <w:topLinePunct/>
        <w:spacing w:line="600" w:lineRule="exact"/>
        <w:ind w:left="640" w:hanging="640" w:hangingChars="200"/>
      </w:pPr>
      <w:r>
        <w:rPr>
          <w:rFonts w:hint="eastAsia" w:ascii="仿宋_GB2312" w:hAnsi="仿宋_GB2312" w:eastAsia="仿宋_GB2312" w:cs="仿宋_GB2312"/>
          <w:sz w:val="32"/>
          <w:szCs w:val="32"/>
        </w:rPr>
        <w:t>10．海南自贸港建设背景下外语服务人才培养路径研究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11．海南自贸港背景下涉外旅游人才培养路径研究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12．海南省家校共育创新研究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13．海南自贸港建设背景下体育文化场域构建研究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14．自贸港背景下海南体育赛事产业高质量发展研究</w:t>
      </w:r>
    </w:p>
    <w:p>
      <w:pPr>
        <w:spacing w:line="600" w:lineRule="exact"/>
        <w:ind w:left="640" w:hanging="640" w:hangingChars="200"/>
        <w:contextualSpacing/>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15．海南自贸港建设背景下海南乡村体育文化发展研究</w:t>
      </w:r>
    </w:p>
    <w:p>
      <w:pPr>
        <w:pStyle w:val="2"/>
      </w:pPr>
    </w:p>
    <w:p>
      <w:pPr>
        <w:spacing w:line="600" w:lineRule="exact"/>
        <w:ind w:left="640" w:hanging="640" w:hangingChars="200"/>
        <w:contextualSpacing/>
        <w:rPr>
          <w:rFonts w:ascii="黑体" w:hAnsi="黑体" w:eastAsia="黑体"/>
          <w:bCs/>
          <w:sz w:val="32"/>
          <w:szCs w:val="32"/>
        </w:rPr>
      </w:pPr>
      <w:r>
        <w:rPr>
          <w:rFonts w:hint="eastAsia" w:ascii="黑体" w:hAnsi="黑体" w:eastAsia="黑体" w:cs="黑体"/>
          <w:bCs/>
          <w:sz w:val="32"/>
          <w:szCs w:val="32"/>
        </w:rPr>
        <w:t>十一、艺术学</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1．动漫艺术与元宇宙技术融合发展研究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2．城市公园绿化设计特色风貌优化研究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3．职业化“数字音乐”教学体系的行业准入标准研究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4．影旅融合语境下互动电影叙事研究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5．视觉重构理论下海南红色文化数字化传播策略研究</w:t>
      </w:r>
    </w:p>
    <w:p>
      <w:pPr>
        <w:spacing w:line="600" w:lineRule="exact"/>
        <w:ind w:left="640" w:hanging="640" w:hangingChars="200"/>
        <w:contextualSpacing/>
      </w:pPr>
      <w:r>
        <w:rPr>
          <w:rFonts w:hint="eastAsia" w:ascii="仿宋_GB2312" w:hAnsi="仿宋_GB2312" w:eastAsia="仿宋_GB2312" w:cs="仿宋_GB2312"/>
          <w:bCs/>
          <w:sz w:val="32"/>
          <w:szCs w:val="32"/>
        </w:rPr>
        <w:t>6．海南乡村旅游特色民宿设计与发展对策研究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7．</w:t>
      </w:r>
      <w:r>
        <w:rPr>
          <w:rFonts w:hint="eastAsia" w:ascii="仿宋_GB2312" w:hAnsi="仿宋_GB2312" w:eastAsia="仿宋_GB2312" w:cs="仿宋_GB2312"/>
          <w:bCs/>
          <w:spacing w:val="-6"/>
          <w:sz w:val="32"/>
          <w:szCs w:val="32"/>
        </w:rPr>
        <w:t>海南省“一村一品”农产品品牌形象建设现状及对策研究</w:t>
      </w:r>
    </w:p>
    <w:p>
      <w:pPr>
        <w:overflowPunct w:val="0"/>
        <w:topLinePunct/>
        <w:snapToGrid w:val="0"/>
        <w:spacing w:line="600" w:lineRule="exact"/>
        <w:ind w:left="640" w:hanging="640" w:hangingChars="200"/>
        <w:rPr>
          <w:rFonts w:ascii="仿宋_GB2312" w:hAnsi="仿宋" w:eastAsia="仿宋_GB2312"/>
          <w:sz w:val="32"/>
          <w:szCs w:val="32"/>
        </w:rPr>
      </w:pPr>
      <w:r>
        <w:rPr>
          <w:rFonts w:hint="eastAsia" w:ascii="仿宋_GB2312" w:hAnsi="仿宋" w:eastAsia="仿宋_GB2312"/>
          <w:sz w:val="32"/>
          <w:szCs w:val="32"/>
        </w:rPr>
        <w:t>8．海南地方戏曲发展研究</w:t>
      </w:r>
    </w:p>
    <w:p>
      <w:pPr>
        <w:pStyle w:val="6"/>
        <w:spacing w:line="600" w:lineRule="exact"/>
        <w:ind w:left="640" w:hanging="640" w:hanging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9．海南骑楼美学特点研究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10．海南打造国际文物艺术品交易中心研究</w:t>
      </w:r>
    </w:p>
    <w:p>
      <w:pPr>
        <w:pStyle w:val="6"/>
        <w:spacing w:line="600" w:lineRule="exact"/>
        <w:ind w:left="640" w:hanging="640" w:hanging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11．自由贸易港建设背景下艺术产品的产权交易研究</w:t>
      </w:r>
    </w:p>
    <w:p>
      <w:pPr>
        <w:spacing w:line="600" w:lineRule="exact"/>
        <w:ind w:left="640" w:hanging="640" w:hangingChars="200"/>
        <w:contextualSpacing/>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12．海南国际消费中心视域下艺术审美标准研究</w:t>
      </w:r>
    </w:p>
    <w:p>
      <w:pPr>
        <w:spacing w:line="600" w:lineRule="exact"/>
        <w:ind w:left="640" w:hanging="640" w:hangingChars="200"/>
        <w:contextualSpacing/>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13．音乐康养的理论与实践研究</w:t>
      </w:r>
    </w:p>
    <w:p>
      <w:pPr>
        <w:spacing w:line="600" w:lineRule="exact"/>
        <w:ind w:left="640" w:hanging="640" w:hangingChars="200"/>
        <w:contextualSpacing/>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14．海南文旅演艺的创新路径研究</w:t>
      </w:r>
    </w:p>
    <w:p>
      <w:pPr>
        <w:spacing w:line="600" w:lineRule="exact"/>
        <w:ind w:left="640" w:hanging="640" w:hangingChars="200"/>
        <w:contextualSpacing/>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15．海南社区艺术的模式研究</w:t>
      </w:r>
    </w:p>
    <w:p>
      <w:pPr>
        <w:pStyle w:val="2"/>
      </w:pPr>
    </w:p>
    <w:p>
      <w:pPr>
        <w:spacing w:line="600" w:lineRule="exact"/>
        <w:ind w:left="640" w:hanging="640" w:hangingChars="200"/>
        <w:rPr>
          <w:rFonts w:ascii="黑体" w:hAnsi="黑体" w:eastAsia="黑体"/>
          <w:bCs/>
          <w:sz w:val="32"/>
          <w:szCs w:val="32"/>
        </w:rPr>
      </w:pPr>
      <w:r>
        <w:rPr>
          <w:rFonts w:hint="eastAsia" w:ascii="黑体" w:hAnsi="黑体" w:eastAsia="黑体"/>
          <w:bCs/>
          <w:sz w:val="32"/>
          <w:szCs w:val="32"/>
        </w:rPr>
        <w:t>十二、</w:t>
      </w:r>
      <w:r>
        <w:rPr>
          <w:rFonts w:hint="eastAsia" w:ascii="黑体" w:hAnsi="黑体" w:eastAsia="黑体" w:cs="黑体"/>
          <w:bCs/>
          <w:sz w:val="32"/>
          <w:szCs w:val="32"/>
        </w:rPr>
        <w:t>其它相关重大问题研究</w:t>
      </w:r>
    </w:p>
    <w:p>
      <w:pPr>
        <w:pStyle w:val="6"/>
        <w:spacing w:line="600" w:lineRule="exact"/>
        <w:ind w:left="640" w:hanging="640" w:hangingChars="200"/>
        <w:rPr>
          <w:rFonts w:hint="eastAsia"/>
        </w:rPr>
      </w:pPr>
      <w:r>
        <w:rPr>
          <w:rFonts w:hint="eastAsia" w:ascii="仿宋_GB2312" w:hAnsi="仿宋_GB2312" w:eastAsia="仿宋_GB2312" w:cs="仿宋_GB2312"/>
          <w:bCs/>
          <w:kern w:val="2"/>
          <w:sz w:val="32"/>
          <w:szCs w:val="32"/>
        </w:rPr>
        <w:t>注：东坡文化研究课题另行发布</w:t>
      </w:r>
    </w:p>
    <w:p>
      <w:pPr>
        <w:tabs>
          <w:tab w:val="left" w:pos="0"/>
        </w:tabs>
        <w:spacing w:line="260" w:lineRule="exact"/>
        <w:rPr>
          <w:rFonts w:hint="eastAsia" w:ascii="楷体_GB2312" w:eastAsia="楷体_GB2312"/>
        </w:rPr>
      </w:pPr>
    </w:p>
    <w:sectPr>
      <w:headerReference r:id="rId3" w:type="default"/>
      <w:footerReference r:id="rId4" w:type="default"/>
      <w:pgSz w:w="11906" w:h="16838"/>
      <w:pgMar w:top="1928" w:right="1531" w:bottom="1701" w:left="1531" w:header="0" w:footer="124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1505876"/>
      <w:docPartObj>
        <w:docPartGallery w:val="autotext"/>
      </w:docPartObj>
    </w:sdtPr>
    <w:sdtEndPr>
      <w:rPr>
        <w:rFonts w:asciiTheme="minorEastAsia" w:hAnsiTheme="minorEastAsia" w:eastAsiaTheme="minorEastAsia"/>
        <w:sz w:val="26"/>
        <w:szCs w:val="26"/>
      </w:rPr>
    </w:sdtEndPr>
    <w:sdtContent>
      <w:p>
        <w:pPr>
          <w:pStyle w:val="9"/>
          <w:jc w:val="center"/>
          <w:rPr>
            <w:rFonts w:asciiTheme="minorEastAsia" w:hAnsiTheme="minorEastAsia" w:eastAsiaTheme="minorEastAsia"/>
            <w:sz w:val="26"/>
            <w:szCs w:val="26"/>
          </w:rPr>
        </w:pPr>
        <w:r>
          <w:rPr>
            <w:rFonts w:hint="eastAsia" w:asciiTheme="minorEastAsia" w:hAnsiTheme="minorEastAsia" w:eastAsiaTheme="minorEastAsia"/>
            <w:sz w:val="26"/>
            <w:szCs w:val="26"/>
          </w:rPr>
          <w:t>—</w:t>
        </w:r>
        <w:r>
          <w:rPr>
            <w:rFonts w:asciiTheme="minorEastAsia" w:hAnsiTheme="minorEastAsia" w:eastAsiaTheme="minorEastAsia"/>
            <w:sz w:val="26"/>
            <w:szCs w:val="26"/>
          </w:rPr>
          <w:t xml:space="preserve"> </w:t>
        </w:r>
        <w:r>
          <w:rPr>
            <w:rFonts w:ascii="Times New Roman" w:hAnsi="Times New Roman" w:eastAsiaTheme="minorEastAsia"/>
            <w:sz w:val="26"/>
            <w:szCs w:val="26"/>
          </w:rPr>
          <w:fldChar w:fldCharType="begin"/>
        </w:r>
        <w:r>
          <w:rPr>
            <w:rFonts w:ascii="Times New Roman" w:hAnsi="Times New Roman" w:eastAsiaTheme="minorEastAsia"/>
            <w:sz w:val="26"/>
            <w:szCs w:val="26"/>
          </w:rPr>
          <w:instrText xml:space="preserve">PAGE   \* MERGEFORMAT</w:instrText>
        </w:r>
        <w:r>
          <w:rPr>
            <w:rFonts w:ascii="Times New Roman" w:hAnsi="Times New Roman" w:eastAsiaTheme="minorEastAsia"/>
            <w:sz w:val="26"/>
            <w:szCs w:val="26"/>
          </w:rPr>
          <w:fldChar w:fldCharType="separate"/>
        </w:r>
        <w:r>
          <w:rPr>
            <w:rFonts w:ascii="Times New Roman" w:hAnsi="Times New Roman" w:eastAsiaTheme="minorEastAsia"/>
            <w:sz w:val="26"/>
            <w:szCs w:val="26"/>
            <w:lang w:val="zh-CN"/>
          </w:rPr>
          <w:t>2</w:t>
        </w:r>
        <w:r>
          <w:rPr>
            <w:rFonts w:ascii="Times New Roman" w:hAnsi="Times New Roman" w:eastAsiaTheme="minorEastAsia"/>
            <w:sz w:val="26"/>
            <w:szCs w:val="26"/>
          </w:rPr>
          <w:fldChar w:fldCharType="end"/>
        </w:r>
        <w:r>
          <w:rPr>
            <w:rFonts w:hint="eastAsia" w:asciiTheme="minorEastAsia" w:hAnsiTheme="minorEastAsia" w:eastAsiaTheme="minorEastAsia"/>
            <w:sz w:val="26"/>
            <w:szCs w:val="26"/>
          </w:rP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SO_WPS_MARK_KEY" w:val="4abd687b-49d7-4eb8-8685-f89a951308c9"/>
  </w:docVars>
  <w:rsids>
    <w:rsidRoot w:val="00172A27"/>
    <w:rsid w:val="000F6531"/>
    <w:rsid w:val="00172A27"/>
    <w:rsid w:val="002A25D7"/>
    <w:rsid w:val="00383D24"/>
    <w:rsid w:val="003A6E58"/>
    <w:rsid w:val="004206A6"/>
    <w:rsid w:val="004501C3"/>
    <w:rsid w:val="004E08C6"/>
    <w:rsid w:val="005E2082"/>
    <w:rsid w:val="00604D10"/>
    <w:rsid w:val="00650FDC"/>
    <w:rsid w:val="0073222B"/>
    <w:rsid w:val="007A434A"/>
    <w:rsid w:val="007A71C7"/>
    <w:rsid w:val="00840433"/>
    <w:rsid w:val="00946C1B"/>
    <w:rsid w:val="00A84216"/>
    <w:rsid w:val="00B555A2"/>
    <w:rsid w:val="00B93C39"/>
    <w:rsid w:val="00C940C4"/>
    <w:rsid w:val="00E16B46"/>
    <w:rsid w:val="02491EC1"/>
    <w:rsid w:val="02E769F1"/>
    <w:rsid w:val="04671E5B"/>
    <w:rsid w:val="05092C21"/>
    <w:rsid w:val="0512295E"/>
    <w:rsid w:val="05FB0B46"/>
    <w:rsid w:val="06700748"/>
    <w:rsid w:val="069D21A7"/>
    <w:rsid w:val="0779157B"/>
    <w:rsid w:val="078269B2"/>
    <w:rsid w:val="07A703EF"/>
    <w:rsid w:val="07E9B536"/>
    <w:rsid w:val="080C5A47"/>
    <w:rsid w:val="08226A8A"/>
    <w:rsid w:val="09D873B4"/>
    <w:rsid w:val="0A3F5E5C"/>
    <w:rsid w:val="0A807A01"/>
    <w:rsid w:val="0BAD1387"/>
    <w:rsid w:val="0BF4E0C7"/>
    <w:rsid w:val="0C4F676E"/>
    <w:rsid w:val="0C5126B6"/>
    <w:rsid w:val="0CA335C6"/>
    <w:rsid w:val="0D244D49"/>
    <w:rsid w:val="117C56CA"/>
    <w:rsid w:val="11E12C61"/>
    <w:rsid w:val="12B31AF9"/>
    <w:rsid w:val="13F41DC8"/>
    <w:rsid w:val="143633AB"/>
    <w:rsid w:val="161C263A"/>
    <w:rsid w:val="18312715"/>
    <w:rsid w:val="1844295B"/>
    <w:rsid w:val="1A3D1CE9"/>
    <w:rsid w:val="1A860BF2"/>
    <w:rsid w:val="1B10417C"/>
    <w:rsid w:val="1C1F27BD"/>
    <w:rsid w:val="1D5E5657"/>
    <w:rsid w:val="1D7774B1"/>
    <w:rsid w:val="1EA57152"/>
    <w:rsid w:val="1EFC5D4C"/>
    <w:rsid w:val="1FAA678E"/>
    <w:rsid w:val="20B7177E"/>
    <w:rsid w:val="20C35A63"/>
    <w:rsid w:val="21114D85"/>
    <w:rsid w:val="236A01BA"/>
    <w:rsid w:val="239C5E9F"/>
    <w:rsid w:val="24500FFE"/>
    <w:rsid w:val="25EE6692"/>
    <w:rsid w:val="26EE1698"/>
    <w:rsid w:val="27736C68"/>
    <w:rsid w:val="27BE30CB"/>
    <w:rsid w:val="286C17F6"/>
    <w:rsid w:val="2A2420B3"/>
    <w:rsid w:val="2A4E49B9"/>
    <w:rsid w:val="2A723C82"/>
    <w:rsid w:val="2A8A1A57"/>
    <w:rsid w:val="2C5667A2"/>
    <w:rsid w:val="2D31514F"/>
    <w:rsid w:val="2EB44C7D"/>
    <w:rsid w:val="2EC879B3"/>
    <w:rsid w:val="2FF7993E"/>
    <w:rsid w:val="2FFB0150"/>
    <w:rsid w:val="312A7F91"/>
    <w:rsid w:val="31E76DD7"/>
    <w:rsid w:val="328950AF"/>
    <w:rsid w:val="349F3549"/>
    <w:rsid w:val="34DA64C3"/>
    <w:rsid w:val="35FFECD4"/>
    <w:rsid w:val="361E3C99"/>
    <w:rsid w:val="36AE1DBF"/>
    <w:rsid w:val="37111966"/>
    <w:rsid w:val="373566A3"/>
    <w:rsid w:val="37BF9EF1"/>
    <w:rsid w:val="38B90A1D"/>
    <w:rsid w:val="38CB549D"/>
    <w:rsid w:val="39347A66"/>
    <w:rsid w:val="39C30C26"/>
    <w:rsid w:val="3A8E5120"/>
    <w:rsid w:val="3B0E2792"/>
    <w:rsid w:val="3BF57113"/>
    <w:rsid w:val="3BFFC038"/>
    <w:rsid w:val="3CD9208E"/>
    <w:rsid w:val="3D776AD6"/>
    <w:rsid w:val="3DF7D239"/>
    <w:rsid w:val="3E7A120F"/>
    <w:rsid w:val="3EFFD66F"/>
    <w:rsid w:val="3F3516EE"/>
    <w:rsid w:val="3F8D11AC"/>
    <w:rsid w:val="3FC75789"/>
    <w:rsid w:val="3FFE84C6"/>
    <w:rsid w:val="42CB4776"/>
    <w:rsid w:val="44465575"/>
    <w:rsid w:val="44A82B9D"/>
    <w:rsid w:val="465527BB"/>
    <w:rsid w:val="46BA7D24"/>
    <w:rsid w:val="47A3E696"/>
    <w:rsid w:val="48F570E8"/>
    <w:rsid w:val="4AC544BB"/>
    <w:rsid w:val="4BDF9642"/>
    <w:rsid w:val="4CFD75DE"/>
    <w:rsid w:val="4D1C7E93"/>
    <w:rsid w:val="4E020ACB"/>
    <w:rsid w:val="4E8915E1"/>
    <w:rsid w:val="4EEF0BF7"/>
    <w:rsid w:val="4F055A6C"/>
    <w:rsid w:val="4F5F871D"/>
    <w:rsid w:val="4FC14287"/>
    <w:rsid w:val="4FFFD8DD"/>
    <w:rsid w:val="502E6D8D"/>
    <w:rsid w:val="50597F0F"/>
    <w:rsid w:val="506640DE"/>
    <w:rsid w:val="51EB17A8"/>
    <w:rsid w:val="522602C5"/>
    <w:rsid w:val="52CA1363"/>
    <w:rsid w:val="538F45A4"/>
    <w:rsid w:val="54250771"/>
    <w:rsid w:val="548D0207"/>
    <w:rsid w:val="54DF253F"/>
    <w:rsid w:val="54ED70CD"/>
    <w:rsid w:val="56A17209"/>
    <w:rsid w:val="573D6B2A"/>
    <w:rsid w:val="57693925"/>
    <w:rsid w:val="57B93B2B"/>
    <w:rsid w:val="57D93F6B"/>
    <w:rsid w:val="57E03510"/>
    <w:rsid w:val="5A211997"/>
    <w:rsid w:val="5A287B85"/>
    <w:rsid w:val="5A29518F"/>
    <w:rsid w:val="5A461818"/>
    <w:rsid w:val="5A973122"/>
    <w:rsid w:val="5AFA5D80"/>
    <w:rsid w:val="5B0020D9"/>
    <w:rsid w:val="5BE31161"/>
    <w:rsid w:val="5C276B6A"/>
    <w:rsid w:val="5C374DC2"/>
    <w:rsid w:val="5C3FC48C"/>
    <w:rsid w:val="5D9F313C"/>
    <w:rsid w:val="5DFF2723"/>
    <w:rsid w:val="5DFFFBB1"/>
    <w:rsid w:val="5E4734A9"/>
    <w:rsid w:val="5EEFE9D6"/>
    <w:rsid w:val="5F255358"/>
    <w:rsid w:val="5FDF46FF"/>
    <w:rsid w:val="5FF16D9D"/>
    <w:rsid w:val="5FF940D0"/>
    <w:rsid w:val="5FFF9E55"/>
    <w:rsid w:val="60F71FA8"/>
    <w:rsid w:val="62FEC6F1"/>
    <w:rsid w:val="65812CFB"/>
    <w:rsid w:val="65AF022A"/>
    <w:rsid w:val="672023BD"/>
    <w:rsid w:val="675F6C3C"/>
    <w:rsid w:val="686B7431"/>
    <w:rsid w:val="6B916ACC"/>
    <w:rsid w:val="6C662072"/>
    <w:rsid w:val="6D3E02A1"/>
    <w:rsid w:val="6D56005D"/>
    <w:rsid w:val="6D8D09DF"/>
    <w:rsid w:val="6DB27B89"/>
    <w:rsid w:val="6E6C0B11"/>
    <w:rsid w:val="6E79154F"/>
    <w:rsid w:val="6F7F8053"/>
    <w:rsid w:val="6F985025"/>
    <w:rsid w:val="6FFB2C49"/>
    <w:rsid w:val="70211410"/>
    <w:rsid w:val="70E5305A"/>
    <w:rsid w:val="71E91071"/>
    <w:rsid w:val="72C15BCE"/>
    <w:rsid w:val="73BE005C"/>
    <w:rsid w:val="73EB1296"/>
    <w:rsid w:val="75FFADFE"/>
    <w:rsid w:val="76BE26EC"/>
    <w:rsid w:val="76FA0B7E"/>
    <w:rsid w:val="77FB40A6"/>
    <w:rsid w:val="77FFB064"/>
    <w:rsid w:val="78306EBD"/>
    <w:rsid w:val="787768C3"/>
    <w:rsid w:val="78861E4A"/>
    <w:rsid w:val="78DE0D64"/>
    <w:rsid w:val="799DAC54"/>
    <w:rsid w:val="79A73480"/>
    <w:rsid w:val="79B8D8BB"/>
    <w:rsid w:val="79C36A4C"/>
    <w:rsid w:val="79DDBAE6"/>
    <w:rsid w:val="7AFEEFCF"/>
    <w:rsid w:val="7B4E6794"/>
    <w:rsid w:val="7B75F0FA"/>
    <w:rsid w:val="7B7F3272"/>
    <w:rsid w:val="7BF6B370"/>
    <w:rsid w:val="7BFBDD57"/>
    <w:rsid w:val="7CB98B7C"/>
    <w:rsid w:val="7CCB6B30"/>
    <w:rsid w:val="7D7D477B"/>
    <w:rsid w:val="7DAA215E"/>
    <w:rsid w:val="7DB32CDC"/>
    <w:rsid w:val="7DD7AB04"/>
    <w:rsid w:val="7DFFC4EA"/>
    <w:rsid w:val="7EC7D56A"/>
    <w:rsid w:val="7EDDB7F5"/>
    <w:rsid w:val="7EFA396D"/>
    <w:rsid w:val="7EFA6E37"/>
    <w:rsid w:val="7EFEEA9D"/>
    <w:rsid w:val="7EFFE202"/>
    <w:rsid w:val="7F24326C"/>
    <w:rsid w:val="7F9FCE95"/>
    <w:rsid w:val="7FAFA600"/>
    <w:rsid w:val="7FBCBE7C"/>
    <w:rsid w:val="7FC7D88B"/>
    <w:rsid w:val="7FEFBB88"/>
    <w:rsid w:val="7FFBB4CA"/>
    <w:rsid w:val="7FFEF794"/>
    <w:rsid w:val="7FFF8D4B"/>
    <w:rsid w:val="7FFFA262"/>
    <w:rsid w:val="8FF72FF7"/>
    <w:rsid w:val="A3FED99E"/>
    <w:rsid w:val="A97FAD51"/>
    <w:rsid w:val="AFE94686"/>
    <w:rsid w:val="AFFFB386"/>
    <w:rsid w:val="B5FFEE02"/>
    <w:rsid w:val="B72FC038"/>
    <w:rsid w:val="B755CAD8"/>
    <w:rsid w:val="B7CFA913"/>
    <w:rsid w:val="B977F742"/>
    <w:rsid w:val="BC889BEB"/>
    <w:rsid w:val="BD37D32D"/>
    <w:rsid w:val="BDDB88F3"/>
    <w:rsid w:val="BEBDE621"/>
    <w:rsid w:val="BF8EC071"/>
    <w:rsid w:val="BFF8244E"/>
    <w:rsid w:val="C9430196"/>
    <w:rsid w:val="CEDC139B"/>
    <w:rsid w:val="CFAFB217"/>
    <w:rsid w:val="D7FB6D69"/>
    <w:rsid w:val="DA575E51"/>
    <w:rsid w:val="DB83B63D"/>
    <w:rsid w:val="DDB76ACC"/>
    <w:rsid w:val="DEBD3981"/>
    <w:rsid w:val="DFDF759F"/>
    <w:rsid w:val="E75F1C49"/>
    <w:rsid w:val="E7B63BB5"/>
    <w:rsid w:val="EBEEF0A5"/>
    <w:rsid w:val="EDEDE936"/>
    <w:rsid w:val="EE6D35AE"/>
    <w:rsid w:val="EEEB7030"/>
    <w:rsid w:val="EF7F3EC9"/>
    <w:rsid w:val="F13EC09F"/>
    <w:rsid w:val="F19B81B1"/>
    <w:rsid w:val="F1F2993C"/>
    <w:rsid w:val="F2FE5B8F"/>
    <w:rsid w:val="F4B8A9CD"/>
    <w:rsid w:val="F5FBFFAC"/>
    <w:rsid w:val="F67FA462"/>
    <w:rsid w:val="F6E3955F"/>
    <w:rsid w:val="F7DB7EA2"/>
    <w:rsid w:val="F7FE16D5"/>
    <w:rsid w:val="F91EC9F7"/>
    <w:rsid w:val="FBDF0641"/>
    <w:rsid w:val="FBDF6EE1"/>
    <w:rsid w:val="FCBFAEB1"/>
    <w:rsid w:val="FCF700BD"/>
    <w:rsid w:val="FD27324F"/>
    <w:rsid w:val="FD7E1418"/>
    <w:rsid w:val="FD9BDF08"/>
    <w:rsid w:val="FDA721AE"/>
    <w:rsid w:val="FDEF9BCB"/>
    <w:rsid w:val="FE7BE51D"/>
    <w:rsid w:val="FEEDA921"/>
    <w:rsid w:val="FEFD3AAE"/>
    <w:rsid w:val="FEFF9121"/>
    <w:rsid w:val="FF7F24A3"/>
    <w:rsid w:val="FF969464"/>
    <w:rsid w:val="FFB51535"/>
    <w:rsid w:val="FFB72616"/>
    <w:rsid w:val="FFBDF2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qFormat="1" w:unhideWhenUsed="0" w:uiPriority="0" w:semiHidden="0" w:name="Salutation"/>
    <w:lsdException w:qFormat="1"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4">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5">
    <w:name w:val="heading 3"/>
    <w:basedOn w:val="1"/>
    <w:next w:val="1"/>
    <w:link w:val="2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after="0"/>
      <w:ind w:left="360" w:firstLine="360"/>
    </w:pPr>
  </w:style>
  <w:style w:type="paragraph" w:styleId="3">
    <w:name w:val="Body Text Indent"/>
    <w:basedOn w:val="1"/>
    <w:unhideWhenUsed/>
    <w:qFormat/>
    <w:uiPriority w:val="99"/>
    <w:pPr>
      <w:spacing w:after="120"/>
      <w:ind w:left="283"/>
    </w:pPr>
  </w:style>
  <w:style w:type="paragraph" w:styleId="6">
    <w:name w:val="Salutation"/>
    <w:basedOn w:val="1"/>
    <w:next w:val="1"/>
    <w:qFormat/>
    <w:uiPriority w:val="0"/>
    <w:rPr>
      <w:rFonts w:cs="Calibri"/>
      <w:kern w:val="0"/>
      <w:sz w:val="20"/>
      <w:szCs w:val="21"/>
    </w:rPr>
  </w:style>
  <w:style w:type="paragraph" w:styleId="7">
    <w:name w:val="Date"/>
    <w:basedOn w:val="1"/>
    <w:next w:val="1"/>
    <w:link w:val="27"/>
    <w:semiHidden/>
    <w:unhideWhenUsed/>
    <w:qFormat/>
    <w:uiPriority w:val="0"/>
    <w:pPr>
      <w:ind w:left="100" w:leftChars="2500"/>
    </w:pPr>
  </w:style>
  <w:style w:type="paragraph" w:styleId="8">
    <w:name w:val="Balloon Text"/>
    <w:basedOn w:val="1"/>
    <w:link w:val="26"/>
    <w:unhideWhenUsed/>
    <w:qFormat/>
    <w:uiPriority w:val="0"/>
    <w:rPr>
      <w:sz w:val="18"/>
      <w:szCs w:val="18"/>
    </w:rPr>
  </w:style>
  <w:style w:type="paragraph" w:styleId="9">
    <w:name w:val="footer"/>
    <w:basedOn w:val="1"/>
    <w:link w:val="25"/>
    <w:unhideWhenUsed/>
    <w:qFormat/>
    <w:uiPriority w:val="0"/>
    <w:pPr>
      <w:tabs>
        <w:tab w:val="center" w:pos="4153"/>
        <w:tab w:val="right" w:pos="8306"/>
      </w:tabs>
      <w:snapToGrid w:val="0"/>
      <w:jc w:val="left"/>
    </w:pPr>
    <w:rPr>
      <w:sz w:val="18"/>
      <w:szCs w:val="18"/>
    </w:rPr>
  </w:style>
  <w:style w:type="paragraph" w:styleId="10">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4">
    <w:name w:val="Strong"/>
    <w:qFormat/>
    <w:uiPriority w:val="22"/>
    <w:rPr>
      <w:b/>
      <w:bCs/>
    </w:rPr>
  </w:style>
  <w:style w:type="character" w:styleId="15">
    <w:name w:val="page number"/>
    <w:basedOn w:val="13"/>
    <w:unhideWhenUsed/>
    <w:qFormat/>
    <w:uiPriority w:val="0"/>
  </w:style>
  <w:style w:type="character" w:styleId="16">
    <w:name w:val="Emphasis"/>
    <w:basedOn w:val="13"/>
    <w:qFormat/>
    <w:uiPriority w:val="20"/>
    <w:rPr>
      <w:i/>
    </w:rPr>
  </w:style>
  <w:style w:type="character" w:styleId="17">
    <w:name w:val="Hyperlink"/>
    <w:basedOn w:val="13"/>
    <w:unhideWhenUsed/>
    <w:qFormat/>
    <w:uiPriority w:val="99"/>
    <w:rPr>
      <w:color w:val="0000FF"/>
      <w:u w:val="single"/>
    </w:rPr>
  </w:style>
  <w:style w:type="paragraph" w:customStyle="1" w:styleId="18">
    <w:name w:val="_Style 4"/>
    <w:basedOn w:val="1"/>
    <w:unhideWhenUsed/>
    <w:qFormat/>
    <w:uiPriority w:val="99"/>
    <w:pPr>
      <w:widowControl/>
      <w:spacing w:after="160" w:line="240" w:lineRule="exact"/>
      <w:jc w:val="left"/>
    </w:pPr>
    <w:rPr>
      <w:rFonts w:hint="eastAsia"/>
    </w:rPr>
  </w:style>
  <w:style w:type="paragraph" w:customStyle="1" w:styleId="19">
    <w:name w:val="列出段落1"/>
    <w:basedOn w:val="1"/>
    <w:qFormat/>
    <w:uiPriority w:val="34"/>
    <w:pPr>
      <w:ind w:firstLine="420" w:firstLineChars="200"/>
    </w:pPr>
  </w:style>
  <w:style w:type="paragraph" w:customStyle="1" w:styleId="20">
    <w:name w:val="列表段落1"/>
    <w:basedOn w:val="1"/>
    <w:qFormat/>
    <w:uiPriority w:val="34"/>
    <w:pPr>
      <w:ind w:firstLine="420" w:firstLineChars="200"/>
    </w:pPr>
  </w:style>
  <w:style w:type="paragraph" w:customStyle="1" w:styleId="21">
    <w:name w:val="列出段落2"/>
    <w:basedOn w:val="1"/>
    <w:qFormat/>
    <w:uiPriority w:val="34"/>
    <w:pPr>
      <w:ind w:firstLine="420" w:firstLineChars="200"/>
    </w:pPr>
  </w:style>
  <w:style w:type="character" w:customStyle="1" w:styleId="22">
    <w:name w:val="标题 3 Char"/>
    <w:link w:val="5"/>
    <w:qFormat/>
    <w:uiPriority w:val="9"/>
    <w:rPr>
      <w:rFonts w:ascii="宋体" w:hAnsi="宋体" w:eastAsia="宋体" w:cs="宋体"/>
      <w:b/>
      <w:bCs/>
      <w:kern w:val="0"/>
      <w:sz w:val="27"/>
      <w:szCs w:val="27"/>
    </w:rPr>
  </w:style>
  <w:style w:type="character" w:customStyle="1" w:styleId="23">
    <w:name w:val="标题 1 Char"/>
    <w:link w:val="4"/>
    <w:qFormat/>
    <w:uiPriority w:val="9"/>
    <w:rPr>
      <w:b/>
      <w:bCs/>
      <w:kern w:val="44"/>
      <w:sz w:val="44"/>
      <w:szCs w:val="44"/>
    </w:rPr>
  </w:style>
  <w:style w:type="character" w:customStyle="1" w:styleId="24">
    <w:name w:val="页眉 Char"/>
    <w:link w:val="10"/>
    <w:qFormat/>
    <w:uiPriority w:val="99"/>
    <w:rPr>
      <w:sz w:val="18"/>
      <w:szCs w:val="18"/>
    </w:rPr>
  </w:style>
  <w:style w:type="character" w:customStyle="1" w:styleId="25">
    <w:name w:val="页脚 Char"/>
    <w:link w:val="9"/>
    <w:qFormat/>
    <w:uiPriority w:val="99"/>
    <w:rPr>
      <w:sz w:val="18"/>
      <w:szCs w:val="18"/>
    </w:rPr>
  </w:style>
  <w:style w:type="character" w:customStyle="1" w:styleId="26">
    <w:name w:val="批注框文本 Char"/>
    <w:link w:val="8"/>
    <w:semiHidden/>
    <w:qFormat/>
    <w:uiPriority w:val="0"/>
    <w:rPr>
      <w:rFonts w:ascii="等线" w:hAnsi="等线" w:eastAsia="等线"/>
      <w:kern w:val="2"/>
      <w:sz w:val="18"/>
      <w:szCs w:val="18"/>
    </w:rPr>
  </w:style>
  <w:style w:type="character" w:customStyle="1" w:styleId="27">
    <w:name w:val="日期 Char"/>
    <w:basedOn w:val="13"/>
    <w:link w:val="7"/>
    <w:semiHidden/>
    <w:qFormat/>
    <w:uiPriority w:val="0"/>
    <w:rPr>
      <w:rFonts w:ascii="等线" w:hAnsi="等线" w:eastAsia="等线"/>
      <w:kern w:val="2"/>
      <w:sz w:val="21"/>
      <w:szCs w:val="22"/>
    </w:rPr>
  </w:style>
  <w:style w:type="character" w:customStyle="1" w:styleId="28">
    <w:name w:val="Subtle Reference"/>
    <w:basedOn w:val="13"/>
    <w:qFormat/>
    <w:uiPriority w:val="31"/>
    <w:rPr>
      <w:smallCaps/>
      <w:color w:val="C0504D" w:themeColor="accent2"/>
      <w:u w:val="single"/>
    </w:rPr>
  </w:style>
  <w:style w:type="paragraph" w:customStyle="1" w:styleId="29">
    <w:name w:val="正文文字缩进 2"/>
    <w:basedOn w:val="1"/>
    <w:qFormat/>
    <w:uiPriority w:val="0"/>
    <w:pPr>
      <w:widowControl/>
      <w:spacing w:before="119" w:line="708" w:lineRule="atLeast"/>
      <w:ind w:firstLine="561"/>
    </w:pPr>
    <w:rPr>
      <w:rFonts w:ascii="仿宋_GB2312" w:hAnsi="Times New Roman" w:eastAsia="仿宋_GB2312"/>
      <w:color w:val="000000"/>
      <w:kern w:val="0"/>
      <w:sz w:val="28"/>
      <w:szCs w:val="20"/>
    </w:rPr>
  </w:style>
  <w:style w:type="paragraph" w:customStyle="1" w:styleId="30">
    <w:name w:val="正文文字缩进"/>
    <w:basedOn w:val="1"/>
    <w:qFormat/>
    <w:uiPriority w:val="0"/>
    <w:pPr>
      <w:widowControl/>
      <w:spacing w:line="771" w:lineRule="atLeast"/>
      <w:ind w:firstLine="572"/>
    </w:pPr>
    <w:rPr>
      <w:rFonts w:ascii="Times New Roman" w:hAnsi="Times New Roman" w:eastAsia="宋体"/>
      <w:color w:val="000000"/>
      <w:kern w:val="0"/>
      <w:sz w:val="28"/>
      <w:szCs w:val="20"/>
    </w:rPr>
  </w:style>
  <w:style w:type="paragraph" w:customStyle="1" w:styleId="31">
    <w:name w:val="正文文字"/>
    <w:basedOn w:val="1"/>
    <w:qFormat/>
    <w:uiPriority w:val="0"/>
    <w:pPr>
      <w:widowControl/>
      <w:spacing w:line="351" w:lineRule="atLeast"/>
      <w:ind w:firstLine="419"/>
      <w:jc w:val="left"/>
    </w:pPr>
    <w:rPr>
      <w:rFonts w:ascii="Times New Roman" w:hAnsi="Times New Roman" w:eastAsia="宋体"/>
      <w:color w:val="000000"/>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11</Pages>
  <Words>3981</Words>
  <Characters>4106</Characters>
  <Lines>87</Lines>
  <Paragraphs>24</Paragraphs>
  <TotalTime>40</TotalTime>
  <ScaleCrop>false</ScaleCrop>
  <LinksUpToDate>false</LinksUpToDate>
  <CharactersWithSpaces>4115</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2022-02-04T16:36:00Z</dcterms:created>
  <dc:creator>陈 施尧</dc:creator>
  <cp:lastModifiedBy>李鹏宇ღ</cp:lastModifiedBy>
  <cp:lastPrinted>2023-02-25T18:30:00Z</cp:lastPrinted>
  <dcterms:modified xsi:type="dcterms:W3CDTF">2023-03-02T02:20:38Z</dcterms:modified>
  <dc:title>关于申报2020年海南省哲学社会科学规划课题的通知</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EC5A7BE1F4AC45009DE6B8E264286BB4</vt:lpwstr>
  </property>
</Properties>
</file>